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Default="008016F9" w:rsidP="002E5D71">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2E5D71">
      <w:pPr>
        <w:spacing w:after="0"/>
        <w:jc w:val="both"/>
        <w:rPr>
          <w:rFonts w:ascii="Arial" w:hAnsi="Arial" w:cs="Arial"/>
          <w:b/>
        </w:rPr>
      </w:pPr>
    </w:p>
    <w:p w14:paraId="52D83A2B" w14:textId="43B226DE" w:rsidR="00910B42" w:rsidRDefault="008016F9" w:rsidP="002E5D71">
      <w:pPr>
        <w:spacing w:after="0"/>
        <w:jc w:val="both"/>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Default="00707C7F" w:rsidP="270BE90B">
      <w:pPr>
        <w:spacing w:after="0"/>
        <w:jc w:val="both"/>
        <w:rPr>
          <w:rFonts w:ascii="Arial" w:hAnsi="Arial" w:cs="Arial"/>
          <w:b/>
          <w:bCs/>
          <w:highlight w:val="green"/>
        </w:rPr>
      </w:pPr>
    </w:p>
    <w:p w14:paraId="3BC00355" w14:textId="4301DA9B" w:rsidR="00635CEB" w:rsidRDefault="00635CEB" w:rsidP="00635CEB">
      <w:pPr>
        <w:tabs>
          <w:tab w:val="left" w:pos="3261"/>
        </w:tabs>
        <w:spacing w:after="120"/>
        <w:rPr>
          <w:rFonts w:ascii="Arial" w:hAnsi="Arial" w:cs="Arial"/>
          <w:sz w:val="48"/>
          <w:szCs w:val="48"/>
        </w:rPr>
      </w:pPr>
      <w:r>
        <w:rPr>
          <w:rFonts w:ascii="Arial" w:hAnsi="Arial" w:cs="Arial"/>
          <w:sz w:val="48"/>
          <w:szCs w:val="48"/>
        </w:rPr>
        <w:t xml:space="preserve">Appointment </w:t>
      </w:r>
      <w:r w:rsidR="001C5943" w:rsidRPr="001C5943">
        <w:rPr>
          <w:rFonts w:ascii="Arial" w:hAnsi="Arial" w:cs="Arial"/>
          <w:sz w:val="48"/>
          <w:szCs w:val="48"/>
        </w:rPr>
        <w:t>of Reader or Professor</w:t>
      </w:r>
      <w:r w:rsidR="00242340">
        <w:rPr>
          <w:rFonts w:ascii="Arial" w:hAnsi="Arial" w:cs="Arial"/>
          <w:sz w:val="48"/>
          <w:szCs w:val="48"/>
        </w:rPr>
        <w:t xml:space="preserve"> </w:t>
      </w:r>
    </w:p>
    <w:p w14:paraId="365EA212" w14:textId="6CBC85EC" w:rsidR="00F5606A" w:rsidRDefault="00F5606A" w:rsidP="00F5606A">
      <w:pPr>
        <w:tabs>
          <w:tab w:val="left" w:pos="3261"/>
        </w:tabs>
        <w:spacing w:after="120"/>
        <w:rPr>
          <w:rFonts w:ascii="Arial" w:hAnsi="Arial" w:cs="Arial"/>
          <w:color w:val="000000"/>
        </w:rPr>
      </w:pPr>
      <w:r w:rsidRPr="00F5606A">
        <w:rPr>
          <w:rFonts w:ascii="Arial" w:hAnsi="Arial" w:cs="Arial"/>
          <w:color w:val="000000"/>
        </w:rPr>
        <w:t xml:space="preserve">The University of Brighton (UoB) is seeking to appoint a new Professor </w:t>
      </w:r>
      <w:r w:rsidR="00D24F54">
        <w:rPr>
          <w:rFonts w:ascii="Arial" w:hAnsi="Arial" w:cs="Arial"/>
          <w:color w:val="000000"/>
        </w:rPr>
        <w:t xml:space="preserve">or </w:t>
      </w:r>
      <w:r w:rsidR="00F46247">
        <w:rPr>
          <w:rFonts w:ascii="Arial" w:hAnsi="Arial" w:cs="Arial"/>
          <w:color w:val="000000"/>
        </w:rPr>
        <w:t>R</w:t>
      </w:r>
      <w:r w:rsidR="00D24F54">
        <w:rPr>
          <w:rFonts w:ascii="Arial" w:hAnsi="Arial" w:cs="Arial"/>
          <w:color w:val="000000"/>
        </w:rPr>
        <w:t xml:space="preserve">eader </w:t>
      </w:r>
      <w:r w:rsidRPr="00F5606A">
        <w:rPr>
          <w:rFonts w:ascii="Arial" w:hAnsi="Arial" w:cs="Arial"/>
          <w:color w:val="000000"/>
        </w:rPr>
        <w:t xml:space="preserve">in the School of Architecture, Technology and Engineering (ATE) to contribute to the leadership of a vibrant community of researchers working to develop truly sustainable solutions </w:t>
      </w:r>
      <w:proofErr w:type="gramStart"/>
      <w:r w:rsidRPr="00F5606A">
        <w:rPr>
          <w:rFonts w:ascii="Arial" w:hAnsi="Arial" w:cs="Arial"/>
          <w:color w:val="000000"/>
        </w:rPr>
        <w:t>in the area of</w:t>
      </w:r>
      <w:proofErr w:type="gramEnd"/>
      <w:r w:rsidRPr="00F5606A">
        <w:rPr>
          <w:rFonts w:ascii="Arial" w:hAnsi="Arial" w:cs="Arial"/>
          <w:color w:val="000000"/>
        </w:rPr>
        <w:t xml:space="preserve"> energy systems</w:t>
      </w:r>
      <w:r w:rsidR="00E628F6">
        <w:rPr>
          <w:rFonts w:ascii="Arial" w:hAnsi="Arial" w:cs="Arial"/>
          <w:color w:val="000000"/>
        </w:rPr>
        <w:t>, with a focus on the alternative sustainable fuel systems</w:t>
      </w:r>
      <w:r w:rsidRPr="00F5606A">
        <w:rPr>
          <w:rFonts w:ascii="Arial" w:hAnsi="Arial" w:cs="Arial"/>
          <w:color w:val="000000"/>
        </w:rPr>
        <w:t>.</w:t>
      </w:r>
    </w:p>
    <w:p w14:paraId="50E9D3FC" w14:textId="1193A88F" w:rsidR="001C5943" w:rsidRPr="001C5943" w:rsidRDefault="001C5943" w:rsidP="001C5943">
      <w:pPr>
        <w:tabs>
          <w:tab w:val="left" w:pos="3261"/>
        </w:tabs>
        <w:spacing w:after="120"/>
        <w:rPr>
          <w:rFonts w:ascii="Arial" w:hAnsi="Arial" w:cs="Arial"/>
          <w:color w:val="000000"/>
        </w:rPr>
      </w:pPr>
      <w:r w:rsidRPr="001C5943">
        <w:rPr>
          <w:rFonts w:ascii="Arial" w:hAnsi="Arial" w:cs="Arial"/>
          <w:color w:val="000000"/>
        </w:rPr>
        <w:t xml:space="preserve">The appointment will be made on the Principal Lecturer salary scale </w:t>
      </w:r>
      <w:r w:rsidR="00902EAF">
        <w:rPr>
          <w:rFonts w:ascii="Arial" w:hAnsi="Arial" w:cs="Arial"/>
          <w:color w:val="000000"/>
        </w:rPr>
        <w:t xml:space="preserve">for a </w:t>
      </w:r>
      <w:r w:rsidRPr="001C5943">
        <w:rPr>
          <w:rFonts w:ascii="Arial" w:hAnsi="Arial" w:cs="Arial"/>
          <w:color w:val="000000"/>
        </w:rPr>
        <w:t>Reader</w:t>
      </w:r>
      <w:r w:rsidR="00902EAF">
        <w:rPr>
          <w:rFonts w:ascii="Arial" w:hAnsi="Arial" w:cs="Arial"/>
          <w:color w:val="000000"/>
        </w:rPr>
        <w:t xml:space="preserve">, or </w:t>
      </w:r>
      <w:r w:rsidRPr="001C5943">
        <w:rPr>
          <w:rFonts w:ascii="Arial" w:hAnsi="Arial" w:cs="Arial"/>
          <w:color w:val="000000"/>
        </w:rPr>
        <w:t xml:space="preserve">within the framework of the university’s arrangements for senior staff </w:t>
      </w:r>
      <w:r w:rsidR="00902EAF">
        <w:rPr>
          <w:rFonts w:ascii="Arial" w:hAnsi="Arial" w:cs="Arial"/>
          <w:color w:val="000000"/>
        </w:rPr>
        <w:t xml:space="preserve"> for </w:t>
      </w:r>
      <w:r w:rsidRPr="001C5943">
        <w:rPr>
          <w:rFonts w:ascii="Arial" w:hAnsi="Arial" w:cs="Arial"/>
          <w:color w:val="000000"/>
        </w:rPr>
        <w:t>Professor. The successful candidate may be considered for the title of Professor or of Reader if the relevant criteria are met. The title will be determined by academic and professional standing.</w:t>
      </w:r>
    </w:p>
    <w:p w14:paraId="2F28CEE5" w14:textId="7B4FC54E" w:rsidR="001C5943" w:rsidRPr="00F5606A" w:rsidRDefault="001C5943" w:rsidP="00F5606A">
      <w:pPr>
        <w:tabs>
          <w:tab w:val="left" w:pos="3261"/>
        </w:tabs>
        <w:spacing w:after="120"/>
        <w:rPr>
          <w:rFonts w:ascii="Arial" w:hAnsi="Arial" w:cs="Arial"/>
          <w:color w:val="000000"/>
        </w:rPr>
      </w:pPr>
      <w:r w:rsidRPr="001C5943">
        <w:rPr>
          <w:rFonts w:ascii="Arial" w:hAnsi="Arial" w:cs="Arial"/>
          <w:color w:val="000000"/>
        </w:rPr>
        <w:t xml:space="preserve">Candidates who wish to be considered for the title of </w:t>
      </w:r>
      <w:r w:rsidRPr="002A2AF1">
        <w:rPr>
          <w:rFonts w:ascii="Arial" w:hAnsi="Arial" w:cs="Arial"/>
          <w:b/>
          <w:bCs/>
          <w:color w:val="000000"/>
        </w:rPr>
        <w:t>Professor</w:t>
      </w:r>
      <w:r w:rsidRPr="001C5943">
        <w:rPr>
          <w:rFonts w:ascii="Arial" w:hAnsi="Arial" w:cs="Arial"/>
          <w:color w:val="000000"/>
        </w:rPr>
        <w:t xml:space="preserve"> should indicate this clearly in their application. Candidates will be assessed for the level of their academic leadership and professional standing by means of the following criteria:</w:t>
      </w:r>
    </w:p>
    <w:p w14:paraId="6BD20908" w14:textId="410D9EF9" w:rsidR="00635CEB" w:rsidRPr="00635CEB" w:rsidRDefault="00635CEB" w:rsidP="00D6364A">
      <w:pPr>
        <w:numPr>
          <w:ilvl w:val="0"/>
          <w:numId w:val="17"/>
        </w:numPr>
        <w:tabs>
          <w:tab w:val="clear" w:pos="360"/>
        </w:tabs>
        <w:spacing w:after="120"/>
        <w:ind w:left="720" w:hanging="720"/>
        <w:rPr>
          <w:rFonts w:ascii="Arial" w:hAnsi="Arial" w:cs="Arial"/>
          <w:snapToGrid w:val="0"/>
          <w:color w:val="000000"/>
        </w:rPr>
      </w:pPr>
      <w:r w:rsidRPr="00635CEB">
        <w:rPr>
          <w:rFonts w:ascii="Arial" w:hAnsi="Arial" w:cs="Arial"/>
          <w:snapToGrid w:val="0"/>
          <w:color w:val="000000"/>
        </w:rPr>
        <w:t xml:space="preserve">contribution by research, professional </w:t>
      </w:r>
      <w:r w:rsidR="62D83A61" w:rsidRPr="00635CEB">
        <w:rPr>
          <w:rFonts w:ascii="Arial" w:hAnsi="Arial" w:cs="Arial"/>
          <w:snapToGrid w:val="0"/>
          <w:color w:val="000000"/>
        </w:rPr>
        <w:t>practice,</w:t>
      </w:r>
      <w:r w:rsidRPr="00635CEB">
        <w:rPr>
          <w:rFonts w:ascii="Arial" w:hAnsi="Arial" w:cs="Arial"/>
          <w:snapToGrid w:val="0"/>
          <w:color w:val="000000"/>
        </w:rPr>
        <w:t xml:space="preserve"> and academic leadership to the advancement of learning and/or application of </w:t>
      </w:r>
      <w:proofErr w:type="gramStart"/>
      <w:r w:rsidRPr="00635CEB">
        <w:rPr>
          <w:rFonts w:ascii="Arial" w:hAnsi="Arial" w:cs="Arial"/>
          <w:snapToGrid w:val="0"/>
          <w:color w:val="000000"/>
        </w:rPr>
        <w:t>knowledge;</w:t>
      </w:r>
      <w:proofErr w:type="gramEnd"/>
    </w:p>
    <w:p w14:paraId="73B155B7" w14:textId="77777777" w:rsidR="00635CEB" w:rsidRPr="00635CEB" w:rsidRDefault="00635CEB" w:rsidP="00D6364A">
      <w:pPr>
        <w:numPr>
          <w:ilvl w:val="0"/>
          <w:numId w:val="17"/>
        </w:numPr>
        <w:tabs>
          <w:tab w:val="clear" w:pos="360"/>
        </w:tabs>
        <w:spacing w:after="120"/>
        <w:ind w:left="720" w:hanging="720"/>
        <w:rPr>
          <w:rFonts w:ascii="Arial" w:hAnsi="Arial" w:cs="Arial"/>
          <w:snapToGrid w:val="0"/>
          <w:color w:val="000000"/>
        </w:rPr>
      </w:pPr>
      <w:r w:rsidRPr="00635CEB">
        <w:rPr>
          <w:rFonts w:ascii="Arial" w:hAnsi="Arial" w:cs="Arial"/>
          <w:snapToGrid w:val="0"/>
          <w:color w:val="000000"/>
        </w:rPr>
        <w:t xml:space="preserve">contribution as a teacher to the advancement of their subject and to the development of students’ </w:t>
      </w:r>
      <w:proofErr w:type="gramStart"/>
      <w:r w:rsidRPr="00635CEB">
        <w:rPr>
          <w:rFonts w:ascii="Arial" w:hAnsi="Arial" w:cs="Arial"/>
          <w:snapToGrid w:val="0"/>
          <w:color w:val="000000"/>
        </w:rPr>
        <w:t>learning;</w:t>
      </w:r>
      <w:proofErr w:type="gramEnd"/>
    </w:p>
    <w:p w14:paraId="7DDABF1E" w14:textId="77777777" w:rsidR="00635CEB" w:rsidRDefault="00635CEB" w:rsidP="00D6364A">
      <w:pPr>
        <w:numPr>
          <w:ilvl w:val="0"/>
          <w:numId w:val="17"/>
        </w:numPr>
        <w:tabs>
          <w:tab w:val="clear" w:pos="360"/>
        </w:tabs>
        <w:spacing w:after="120"/>
        <w:ind w:left="720" w:hanging="720"/>
        <w:rPr>
          <w:rFonts w:ascii="Arial" w:hAnsi="Arial" w:cs="Arial"/>
          <w:snapToGrid w:val="0"/>
          <w:color w:val="000000"/>
        </w:rPr>
      </w:pPr>
      <w:r w:rsidRPr="00635CEB">
        <w:rPr>
          <w:rFonts w:ascii="Arial" w:hAnsi="Arial" w:cs="Arial"/>
          <w:snapToGrid w:val="0"/>
          <w:color w:val="000000"/>
        </w:rPr>
        <w:t>national standing in their subject or their profession.</w:t>
      </w:r>
    </w:p>
    <w:p w14:paraId="598CAE4C" w14:textId="77777777" w:rsidR="00104A66" w:rsidRPr="00104A66" w:rsidRDefault="00104A66" w:rsidP="00104A66">
      <w:pPr>
        <w:numPr>
          <w:ilvl w:val="0"/>
          <w:numId w:val="17"/>
        </w:numPr>
        <w:tabs>
          <w:tab w:val="clear" w:pos="360"/>
        </w:tabs>
        <w:spacing w:after="120"/>
        <w:ind w:left="720" w:hanging="720"/>
        <w:rPr>
          <w:rFonts w:ascii="Arial" w:hAnsi="Arial" w:cs="Arial"/>
          <w:snapToGrid w:val="0"/>
          <w:color w:val="000000"/>
        </w:rPr>
      </w:pPr>
      <w:r w:rsidRPr="00104A66">
        <w:rPr>
          <w:rFonts w:ascii="Arial" w:hAnsi="Arial" w:cs="Arial"/>
          <w:snapToGrid w:val="0"/>
          <w:color w:val="000000"/>
        </w:rPr>
        <w:t xml:space="preserve">Contribution to research </w:t>
      </w:r>
      <w:proofErr w:type="gramStart"/>
      <w:r w:rsidRPr="00104A66">
        <w:rPr>
          <w:rFonts w:ascii="Arial" w:hAnsi="Arial" w:cs="Arial"/>
          <w:snapToGrid w:val="0"/>
          <w:color w:val="000000"/>
        </w:rPr>
        <w:t>in the area of</w:t>
      </w:r>
      <w:proofErr w:type="gramEnd"/>
      <w:r w:rsidRPr="00104A66">
        <w:rPr>
          <w:rFonts w:ascii="Arial" w:hAnsi="Arial" w:cs="Arial"/>
          <w:snapToGrid w:val="0"/>
          <w:color w:val="000000"/>
        </w:rPr>
        <w:t xml:space="preserve"> energy systems with a particular focus on zero-carbon fuels for internal combustion engines. </w:t>
      </w:r>
    </w:p>
    <w:p w14:paraId="050783A3" w14:textId="77777777" w:rsidR="00104A66" w:rsidRPr="00104A66" w:rsidRDefault="00104A66" w:rsidP="00104A66">
      <w:pPr>
        <w:numPr>
          <w:ilvl w:val="0"/>
          <w:numId w:val="17"/>
        </w:numPr>
        <w:tabs>
          <w:tab w:val="clear" w:pos="360"/>
        </w:tabs>
        <w:spacing w:after="120"/>
        <w:ind w:left="720" w:hanging="720"/>
        <w:rPr>
          <w:rFonts w:ascii="Arial" w:hAnsi="Arial" w:cs="Arial"/>
          <w:snapToGrid w:val="0"/>
          <w:color w:val="000000"/>
        </w:rPr>
      </w:pPr>
      <w:r w:rsidRPr="003B27EF">
        <w:rPr>
          <w:rFonts w:ascii="Arial" w:hAnsi="Arial" w:cs="Arial"/>
          <w:snapToGrid w:val="0"/>
          <w:color w:val="000000"/>
        </w:rPr>
        <w:t>Demonstrable ability to contribute to both research and teaching within the engineering portfolio.</w:t>
      </w:r>
    </w:p>
    <w:p w14:paraId="7594F99E" w14:textId="05A8484F" w:rsidR="002C648A" w:rsidRPr="00104A66" w:rsidRDefault="00104A66" w:rsidP="00104A66">
      <w:pPr>
        <w:numPr>
          <w:ilvl w:val="0"/>
          <w:numId w:val="17"/>
        </w:numPr>
        <w:tabs>
          <w:tab w:val="clear" w:pos="360"/>
        </w:tabs>
        <w:spacing w:after="120"/>
        <w:ind w:left="720" w:hanging="720"/>
        <w:rPr>
          <w:rFonts w:ascii="Arial" w:hAnsi="Arial" w:cs="Arial"/>
          <w:snapToGrid w:val="0"/>
          <w:color w:val="000000"/>
        </w:rPr>
      </w:pPr>
      <w:r>
        <w:rPr>
          <w:rFonts w:ascii="Arial" w:hAnsi="Arial" w:cs="Arial"/>
          <w:snapToGrid w:val="0"/>
          <w:color w:val="000000"/>
        </w:rPr>
        <w:t>P</w:t>
      </w:r>
      <w:r w:rsidRPr="00F0660D">
        <w:rPr>
          <w:rFonts w:ascii="Arial" w:hAnsi="Arial" w:cs="Arial"/>
          <w:snapToGrid w:val="0"/>
          <w:color w:val="000000"/>
        </w:rPr>
        <w:t xml:space="preserve">roven ability to lead, develop and manage individuals and teams to achieve </w:t>
      </w:r>
      <w:r>
        <w:rPr>
          <w:rFonts w:ascii="Arial" w:hAnsi="Arial" w:cs="Arial"/>
          <w:snapToGrid w:val="0"/>
          <w:color w:val="000000"/>
        </w:rPr>
        <w:t>S</w:t>
      </w:r>
      <w:r w:rsidRPr="00F0660D">
        <w:rPr>
          <w:rFonts w:ascii="Arial" w:hAnsi="Arial" w:cs="Arial"/>
          <w:snapToGrid w:val="0"/>
          <w:color w:val="000000"/>
        </w:rPr>
        <w:t>chool and University goals.</w:t>
      </w:r>
    </w:p>
    <w:p w14:paraId="23BD8706" w14:textId="1DCAA9BA" w:rsidR="00635CEB" w:rsidRDefault="00635CEB" w:rsidP="00D6364A">
      <w:pPr>
        <w:spacing w:after="120"/>
        <w:rPr>
          <w:rFonts w:ascii="Arial" w:hAnsi="Arial" w:cs="Arial"/>
          <w:snapToGrid w:val="0"/>
          <w:color w:val="000000"/>
        </w:rPr>
      </w:pPr>
      <w:r w:rsidRPr="00635CEB">
        <w:rPr>
          <w:rFonts w:ascii="Arial" w:hAnsi="Arial" w:cs="Arial"/>
          <w:snapToGrid w:val="0"/>
          <w:color w:val="000000"/>
        </w:rPr>
        <w:t>A copy of the full regulations for the conferment of the t</w:t>
      </w:r>
      <w:r w:rsidR="00D6364A">
        <w:rPr>
          <w:rFonts w:ascii="Arial" w:hAnsi="Arial" w:cs="Arial"/>
          <w:snapToGrid w:val="0"/>
          <w:color w:val="000000"/>
        </w:rPr>
        <w:t>itle of Professor can be found at the end of this job description.</w:t>
      </w:r>
    </w:p>
    <w:p w14:paraId="3B2EC91B" w14:textId="1C9E80D2" w:rsidR="001C5943" w:rsidRDefault="001C5943" w:rsidP="00D6364A">
      <w:pPr>
        <w:spacing w:after="120"/>
        <w:rPr>
          <w:rFonts w:ascii="Arial" w:hAnsi="Arial" w:cs="Arial"/>
          <w:snapToGrid w:val="0"/>
          <w:color w:val="000000"/>
        </w:rPr>
      </w:pPr>
      <w:r w:rsidRPr="001C5943">
        <w:rPr>
          <w:rFonts w:ascii="Arial" w:hAnsi="Arial" w:cs="Arial"/>
          <w:snapToGrid w:val="0"/>
          <w:color w:val="000000"/>
        </w:rPr>
        <w:t xml:space="preserve">The title of </w:t>
      </w:r>
      <w:r w:rsidRPr="001C5943">
        <w:rPr>
          <w:rFonts w:ascii="Arial" w:hAnsi="Arial" w:cs="Arial"/>
          <w:b/>
          <w:bCs/>
          <w:snapToGrid w:val="0"/>
          <w:color w:val="000000"/>
        </w:rPr>
        <w:t>Reader</w:t>
      </w:r>
      <w:r w:rsidRPr="001C5943">
        <w:rPr>
          <w:rFonts w:ascii="Arial" w:hAnsi="Arial" w:cs="Arial"/>
          <w:snapToGrid w:val="0"/>
          <w:color w:val="000000"/>
        </w:rPr>
        <w:t xml:space="preserve"> can be conferred upon staff who have met the criteria for Principal Lecturer, demonstrated particular and sustained excellence in research and scholarship as described below, and shown evidence of potential for further achievement in this respect. Exceptional qualities and excellence are sought. Appointment to Principal Lecturer is based upon performance both within and outside the university and on potential for further development in the following areas:</w:t>
      </w:r>
    </w:p>
    <w:p w14:paraId="09081602" w14:textId="4F6C4D79" w:rsidR="00902EAF" w:rsidRPr="00902EAF" w:rsidRDefault="00902EAF" w:rsidP="00902EAF">
      <w:pPr>
        <w:numPr>
          <w:ilvl w:val="0"/>
          <w:numId w:val="17"/>
        </w:numPr>
        <w:tabs>
          <w:tab w:val="clear" w:pos="360"/>
        </w:tabs>
        <w:spacing w:after="120"/>
        <w:ind w:left="720" w:hanging="720"/>
        <w:rPr>
          <w:rFonts w:ascii="Arial" w:hAnsi="Arial" w:cs="Arial"/>
          <w:snapToGrid w:val="0"/>
          <w:color w:val="000000"/>
        </w:rPr>
      </w:pPr>
      <w:r w:rsidRPr="00902EAF">
        <w:rPr>
          <w:rFonts w:ascii="Arial" w:hAnsi="Arial" w:cs="Arial"/>
          <w:snapToGrid w:val="0"/>
          <w:color w:val="000000"/>
        </w:rPr>
        <w:lastRenderedPageBreak/>
        <w:t xml:space="preserve">Research contribution and professional standing. This is normally reflected in scholarly publications in refereed journals, or other appropriate sources given the nature of the discipline. Research grant income and successful supervision of research students will also be </w:t>
      </w:r>
      <w:proofErr w:type="gramStart"/>
      <w:r w:rsidRPr="00902EAF">
        <w:rPr>
          <w:rFonts w:ascii="Arial" w:hAnsi="Arial" w:cs="Arial"/>
          <w:snapToGrid w:val="0"/>
          <w:color w:val="000000"/>
        </w:rPr>
        <w:t>taken into account</w:t>
      </w:r>
      <w:proofErr w:type="gramEnd"/>
      <w:r w:rsidRPr="00902EAF">
        <w:rPr>
          <w:rFonts w:ascii="Arial" w:hAnsi="Arial" w:cs="Arial"/>
          <w:snapToGrid w:val="0"/>
          <w:color w:val="000000"/>
        </w:rPr>
        <w:t xml:space="preserve">. Professional standing may be indicated by successful involvement on industry committees or with professional </w:t>
      </w:r>
      <w:proofErr w:type="gramStart"/>
      <w:r w:rsidRPr="00902EAF">
        <w:rPr>
          <w:rFonts w:ascii="Arial" w:hAnsi="Arial" w:cs="Arial"/>
          <w:snapToGrid w:val="0"/>
          <w:color w:val="000000"/>
        </w:rPr>
        <w:t>bodies;</w:t>
      </w:r>
      <w:proofErr w:type="gramEnd"/>
    </w:p>
    <w:p w14:paraId="164111D6" w14:textId="4C152494" w:rsidR="00902EAF" w:rsidRPr="00902EAF" w:rsidRDefault="00902EAF" w:rsidP="00902EAF">
      <w:pPr>
        <w:numPr>
          <w:ilvl w:val="0"/>
          <w:numId w:val="17"/>
        </w:numPr>
        <w:tabs>
          <w:tab w:val="clear" w:pos="360"/>
        </w:tabs>
        <w:spacing w:after="120"/>
        <w:ind w:left="720" w:hanging="720"/>
        <w:rPr>
          <w:rFonts w:ascii="Arial" w:hAnsi="Arial" w:cs="Arial"/>
          <w:snapToGrid w:val="0"/>
          <w:color w:val="000000"/>
        </w:rPr>
      </w:pPr>
      <w:r w:rsidRPr="00902EAF">
        <w:rPr>
          <w:rFonts w:ascii="Arial" w:hAnsi="Arial" w:cs="Arial"/>
          <w:snapToGrid w:val="0"/>
          <w:color w:val="000000"/>
        </w:rPr>
        <w:t>Teaching contribution and quality including teaching commitments and methods, new course development, participation in validation procedures and short course contributions.</w:t>
      </w:r>
    </w:p>
    <w:p w14:paraId="2DE31667" w14:textId="51EC2F27" w:rsidR="00902EAF" w:rsidRPr="00902EAF" w:rsidRDefault="00902EAF" w:rsidP="00902EAF">
      <w:pPr>
        <w:numPr>
          <w:ilvl w:val="0"/>
          <w:numId w:val="17"/>
        </w:numPr>
        <w:tabs>
          <w:tab w:val="clear" w:pos="360"/>
        </w:tabs>
        <w:spacing w:after="120"/>
        <w:ind w:left="720" w:hanging="720"/>
        <w:rPr>
          <w:rFonts w:ascii="Arial" w:hAnsi="Arial" w:cs="Arial"/>
          <w:snapToGrid w:val="0"/>
          <w:color w:val="000000"/>
        </w:rPr>
      </w:pPr>
      <w:r w:rsidRPr="00902EAF">
        <w:rPr>
          <w:rFonts w:ascii="Arial" w:hAnsi="Arial" w:cs="Arial"/>
          <w:snapToGrid w:val="0"/>
          <w:color w:val="000000"/>
        </w:rPr>
        <w:t>Managerial and leadership abilities including responsibilities undertaken and successfully accomplished. These might include responsibility for a major course or designated coordinating role either in a school or faculty or both in relation, for example, to a complex multi-subject degree.</w:t>
      </w:r>
    </w:p>
    <w:p w14:paraId="541D8F76" w14:textId="77777777" w:rsidR="00902EAF" w:rsidRDefault="00902EAF" w:rsidP="00A96C97">
      <w:pPr>
        <w:spacing w:after="120" w:line="240" w:lineRule="auto"/>
        <w:rPr>
          <w:rFonts w:ascii="Arial" w:hAnsi="Arial" w:cs="Arial"/>
          <w:b/>
          <w:snapToGrid w:val="0"/>
          <w:color w:val="000000"/>
        </w:rPr>
      </w:pPr>
    </w:p>
    <w:p w14:paraId="1EEB7BDF" w14:textId="20BED5D2" w:rsidR="00A96C97" w:rsidRPr="00A96C97" w:rsidRDefault="00A96C97" w:rsidP="00A96C97">
      <w:pPr>
        <w:spacing w:after="120" w:line="240" w:lineRule="auto"/>
        <w:rPr>
          <w:rFonts w:ascii="Arial" w:hAnsi="Arial" w:cs="Arial"/>
          <w:b/>
          <w:snapToGrid w:val="0"/>
          <w:color w:val="000000"/>
        </w:rPr>
      </w:pPr>
      <w:r w:rsidRPr="00A96C97">
        <w:rPr>
          <w:rFonts w:ascii="Arial" w:hAnsi="Arial" w:cs="Arial"/>
          <w:b/>
          <w:snapToGrid w:val="0"/>
          <w:color w:val="000000"/>
        </w:rPr>
        <w:t>Selection Criteria</w:t>
      </w:r>
    </w:p>
    <w:p w14:paraId="4AFBC9F7" w14:textId="05272483" w:rsidR="00A96C97" w:rsidRPr="00A96C97" w:rsidRDefault="00A96C97" w:rsidP="00A96C97">
      <w:pPr>
        <w:spacing w:after="120" w:line="240" w:lineRule="auto"/>
        <w:rPr>
          <w:rFonts w:ascii="Arial" w:hAnsi="Arial" w:cs="Arial"/>
          <w:snapToGrid w:val="0"/>
          <w:color w:val="000000"/>
        </w:rPr>
      </w:pPr>
      <w:r w:rsidRPr="00A96C97">
        <w:rPr>
          <w:rFonts w:ascii="Arial" w:hAnsi="Arial" w:cs="Arial"/>
          <w:b/>
          <w:snapToGrid w:val="0"/>
          <w:color w:val="000000"/>
        </w:rPr>
        <w:t>Essential</w:t>
      </w:r>
      <w:r w:rsidRPr="00A96C97">
        <w:rPr>
          <w:rFonts w:ascii="Arial" w:hAnsi="Arial" w:cs="Arial"/>
          <w:snapToGrid w:val="0"/>
          <w:color w:val="000000"/>
        </w:rPr>
        <w:t xml:space="preserve"> criteria are those which an appointee must have </w:t>
      </w:r>
      <w:proofErr w:type="gramStart"/>
      <w:r w:rsidRPr="00A96C97">
        <w:rPr>
          <w:rFonts w:ascii="Arial" w:hAnsi="Arial" w:cs="Arial"/>
          <w:snapToGrid w:val="0"/>
          <w:color w:val="000000"/>
        </w:rPr>
        <w:t>in order to</w:t>
      </w:r>
      <w:proofErr w:type="gramEnd"/>
      <w:r w:rsidRPr="00A96C97">
        <w:rPr>
          <w:rFonts w:ascii="Arial" w:hAnsi="Arial" w:cs="Arial"/>
          <w:snapToGrid w:val="0"/>
          <w:color w:val="000000"/>
        </w:rPr>
        <w:t xml:space="preserve"> adequately perform the post</w:t>
      </w:r>
      <w:r w:rsidR="00860BF6">
        <w:rPr>
          <w:rFonts w:ascii="Arial" w:hAnsi="Arial" w:cs="Arial"/>
          <w:snapToGrid w:val="0"/>
          <w:color w:val="000000"/>
        </w:rPr>
        <w:t>.</w:t>
      </w:r>
    </w:p>
    <w:p w14:paraId="387FEC29" w14:textId="3F4414BD" w:rsidR="00A96C97" w:rsidRDefault="00A96C97" w:rsidP="00A96C97">
      <w:pPr>
        <w:spacing w:after="120" w:line="240" w:lineRule="auto"/>
        <w:rPr>
          <w:rFonts w:ascii="Arial" w:hAnsi="Arial" w:cs="Arial"/>
          <w:snapToGrid w:val="0"/>
          <w:color w:val="000000"/>
        </w:rPr>
      </w:pPr>
      <w:r w:rsidRPr="00A96C97">
        <w:rPr>
          <w:rFonts w:ascii="Arial" w:hAnsi="Arial" w:cs="Arial"/>
          <w:snapToGrid w:val="0"/>
          <w:color w:val="000000"/>
        </w:rPr>
        <w:t xml:space="preserve">The criteria below indicate the qualities that are needed to do the job well.  Candidates will be selected according to the extent to which they satisfy these criteria.  Evidence of potential will also be considered.  </w:t>
      </w:r>
    </w:p>
    <w:p w14:paraId="1E93BC29" w14:textId="77777777" w:rsidR="00A96C97" w:rsidRPr="00A96C97" w:rsidRDefault="00A96C97" w:rsidP="00A96C97">
      <w:pPr>
        <w:spacing w:after="120" w:line="240" w:lineRule="auto"/>
        <w:rPr>
          <w:rFonts w:ascii="Arial" w:hAnsi="Arial" w:cs="Arial"/>
          <w:b/>
          <w:snapToGrid w:val="0"/>
          <w:color w:val="000000"/>
        </w:rPr>
      </w:pPr>
      <w:r w:rsidRPr="00A96C97">
        <w:rPr>
          <w:rFonts w:ascii="Arial" w:hAnsi="Arial" w:cs="Arial"/>
          <w:b/>
          <w:snapToGrid w:val="0"/>
          <w:color w:val="000000"/>
        </w:rPr>
        <w:t>Essential:</w:t>
      </w:r>
    </w:p>
    <w:p w14:paraId="24A62D83" w14:textId="77777777" w:rsidR="00A96C97" w:rsidRPr="00A96C97" w:rsidRDefault="00A96C97" w:rsidP="00A96C97">
      <w:pPr>
        <w:spacing w:after="120" w:line="240" w:lineRule="auto"/>
        <w:rPr>
          <w:rFonts w:ascii="Arial" w:hAnsi="Arial" w:cs="Arial"/>
          <w:b/>
          <w:snapToGrid w:val="0"/>
          <w:color w:val="000000"/>
        </w:rPr>
      </w:pPr>
      <w:r w:rsidRPr="00A96C97">
        <w:rPr>
          <w:rFonts w:ascii="Arial" w:hAnsi="Arial" w:cs="Arial"/>
          <w:b/>
          <w:snapToGrid w:val="0"/>
          <w:color w:val="000000"/>
        </w:rPr>
        <w:t>Knowledge, qualifications and experience</w:t>
      </w:r>
    </w:p>
    <w:p w14:paraId="162CD269" w14:textId="77777777" w:rsidR="00A96C97" w:rsidRPr="00A96C97" w:rsidRDefault="00A96C97" w:rsidP="00A96C97">
      <w:pPr>
        <w:numPr>
          <w:ilvl w:val="0"/>
          <w:numId w:val="22"/>
        </w:numPr>
        <w:spacing w:after="120" w:line="240" w:lineRule="auto"/>
        <w:rPr>
          <w:rFonts w:ascii="Arial" w:hAnsi="Arial" w:cs="Arial"/>
          <w:snapToGrid w:val="0"/>
          <w:color w:val="000000"/>
        </w:rPr>
      </w:pPr>
      <w:r w:rsidRPr="00A96C97">
        <w:rPr>
          <w:rFonts w:ascii="Arial" w:hAnsi="Arial" w:cs="Arial"/>
          <w:snapToGrid w:val="0"/>
          <w:color w:val="000000"/>
        </w:rPr>
        <w:t xml:space="preserve">A doctorate in a relevant area of research. </w:t>
      </w:r>
    </w:p>
    <w:p w14:paraId="5090B520" w14:textId="77777777" w:rsidR="00A96C97" w:rsidRPr="00A96C97" w:rsidRDefault="00A96C97" w:rsidP="00A96C97">
      <w:pPr>
        <w:numPr>
          <w:ilvl w:val="0"/>
          <w:numId w:val="22"/>
        </w:numPr>
        <w:spacing w:after="120" w:line="240" w:lineRule="auto"/>
        <w:rPr>
          <w:rFonts w:ascii="Arial" w:hAnsi="Arial" w:cs="Arial"/>
          <w:snapToGrid w:val="0"/>
          <w:color w:val="000000"/>
        </w:rPr>
      </w:pPr>
      <w:r w:rsidRPr="00A96C97">
        <w:rPr>
          <w:rFonts w:ascii="Arial" w:hAnsi="Arial" w:cs="Arial"/>
          <w:snapToGrid w:val="0"/>
          <w:color w:val="000000"/>
        </w:rPr>
        <w:t>An outstanding track record of peer reviewed journal articles and other internationally excellent or world-leading publications.</w:t>
      </w:r>
    </w:p>
    <w:p w14:paraId="5A816231" w14:textId="77777777" w:rsidR="00A96C97" w:rsidRPr="00A96C97" w:rsidRDefault="00A96C97" w:rsidP="00A96C97">
      <w:pPr>
        <w:numPr>
          <w:ilvl w:val="0"/>
          <w:numId w:val="22"/>
        </w:numPr>
        <w:spacing w:after="120" w:line="240" w:lineRule="auto"/>
        <w:rPr>
          <w:rFonts w:ascii="Arial" w:hAnsi="Arial" w:cs="Arial"/>
          <w:snapToGrid w:val="0"/>
          <w:color w:val="000000"/>
        </w:rPr>
      </w:pPr>
      <w:r w:rsidRPr="00A96C97">
        <w:rPr>
          <w:rFonts w:ascii="Arial" w:hAnsi="Arial" w:cs="Arial"/>
          <w:snapToGrid w:val="0"/>
          <w:color w:val="000000"/>
        </w:rPr>
        <w:t>A significant track record of research grant awards as Principal Investigator.</w:t>
      </w:r>
    </w:p>
    <w:p w14:paraId="30A0DC46" w14:textId="77777777" w:rsidR="00A96C97" w:rsidRPr="00A96C97" w:rsidRDefault="00A96C97" w:rsidP="00A96C97">
      <w:pPr>
        <w:numPr>
          <w:ilvl w:val="0"/>
          <w:numId w:val="22"/>
        </w:numPr>
        <w:spacing w:after="120" w:line="240" w:lineRule="auto"/>
        <w:rPr>
          <w:rFonts w:ascii="Arial" w:hAnsi="Arial" w:cs="Arial"/>
          <w:snapToGrid w:val="0"/>
          <w:color w:val="000000"/>
        </w:rPr>
      </w:pPr>
      <w:r w:rsidRPr="00A96C97">
        <w:rPr>
          <w:rFonts w:ascii="Arial" w:hAnsi="Arial" w:cs="Arial"/>
          <w:snapToGrid w:val="0"/>
          <w:color w:val="000000"/>
        </w:rPr>
        <w:t xml:space="preserve">Successful supervision of research degrees. </w:t>
      </w:r>
    </w:p>
    <w:p w14:paraId="262F478B" w14:textId="77777777" w:rsidR="00A96C97" w:rsidRPr="00A96C97" w:rsidRDefault="00A96C97" w:rsidP="00A96C97">
      <w:pPr>
        <w:numPr>
          <w:ilvl w:val="0"/>
          <w:numId w:val="22"/>
        </w:numPr>
        <w:spacing w:after="120" w:line="240" w:lineRule="auto"/>
        <w:rPr>
          <w:rFonts w:ascii="Arial" w:hAnsi="Arial" w:cs="Arial"/>
          <w:snapToGrid w:val="0"/>
          <w:color w:val="000000"/>
        </w:rPr>
      </w:pPr>
      <w:r w:rsidRPr="00A96C97">
        <w:rPr>
          <w:rFonts w:ascii="Arial" w:hAnsi="Arial" w:cs="Arial"/>
          <w:snapToGrid w:val="0"/>
          <w:color w:val="000000"/>
        </w:rPr>
        <w:t>Competent IT skills and effective use of IT for teaching and learning.</w:t>
      </w:r>
    </w:p>
    <w:p w14:paraId="7ED8585D" w14:textId="77777777" w:rsidR="00A96C97" w:rsidRPr="00A96C97" w:rsidRDefault="00A96C97" w:rsidP="00A96C97">
      <w:pPr>
        <w:numPr>
          <w:ilvl w:val="0"/>
          <w:numId w:val="22"/>
        </w:numPr>
        <w:spacing w:after="120" w:line="240" w:lineRule="auto"/>
        <w:rPr>
          <w:rFonts w:ascii="Arial" w:hAnsi="Arial" w:cs="Arial"/>
          <w:snapToGrid w:val="0"/>
          <w:color w:val="000000"/>
        </w:rPr>
      </w:pPr>
      <w:r w:rsidRPr="00A96C97">
        <w:rPr>
          <w:rFonts w:ascii="Arial" w:hAnsi="Arial" w:cs="Arial"/>
          <w:snapToGrid w:val="0"/>
          <w:color w:val="000000"/>
        </w:rPr>
        <w:t xml:space="preserve">Contribution to national and international research communities and networks. </w:t>
      </w:r>
    </w:p>
    <w:p w14:paraId="4CC2E2D1" w14:textId="77777777" w:rsidR="00A96C97" w:rsidRPr="00A96C97" w:rsidRDefault="00A96C97" w:rsidP="00A96C97">
      <w:pPr>
        <w:numPr>
          <w:ilvl w:val="0"/>
          <w:numId w:val="22"/>
        </w:numPr>
        <w:spacing w:after="120" w:line="240" w:lineRule="auto"/>
        <w:rPr>
          <w:rFonts w:ascii="Arial" w:hAnsi="Arial" w:cs="Arial"/>
          <w:snapToGrid w:val="0"/>
          <w:color w:val="000000"/>
        </w:rPr>
      </w:pPr>
      <w:r w:rsidRPr="00A96C97">
        <w:rPr>
          <w:rFonts w:ascii="Arial" w:hAnsi="Arial" w:cs="Arial"/>
          <w:snapToGrid w:val="0"/>
          <w:color w:val="000000"/>
        </w:rPr>
        <w:t xml:space="preserve">Contribution to the development and maintenance of a strong research culture. </w:t>
      </w:r>
    </w:p>
    <w:p w14:paraId="6B844FA7" w14:textId="77777777" w:rsidR="00A96C97" w:rsidRPr="00A96C97" w:rsidRDefault="00A96C97" w:rsidP="00A96C97">
      <w:pPr>
        <w:spacing w:after="120" w:line="240" w:lineRule="auto"/>
        <w:rPr>
          <w:rFonts w:ascii="Arial" w:hAnsi="Arial" w:cs="Arial"/>
          <w:snapToGrid w:val="0"/>
          <w:color w:val="000000"/>
        </w:rPr>
      </w:pPr>
      <w:r w:rsidRPr="00A96C97">
        <w:rPr>
          <w:rFonts w:ascii="Arial" w:hAnsi="Arial" w:cs="Arial"/>
          <w:b/>
          <w:snapToGrid w:val="0"/>
          <w:color w:val="000000"/>
        </w:rPr>
        <w:t>Teaching and learning expertise</w:t>
      </w:r>
    </w:p>
    <w:p w14:paraId="4DF0B0CE" w14:textId="77777777" w:rsidR="00A96C97" w:rsidRPr="00A96C97" w:rsidRDefault="00A96C97" w:rsidP="00A96C97">
      <w:pPr>
        <w:numPr>
          <w:ilvl w:val="0"/>
          <w:numId w:val="22"/>
        </w:numPr>
        <w:spacing w:after="120" w:line="240" w:lineRule="auto"/>
        <w:rPr>
          <w:rFonts w:ascii="Arial" w:hAnsi="Arial" w:cs="Arial"/>
          <w:snapToGrid w:val="0"/>
          <w:color w:val="000000"/>
        </w:rPr>
      </w:pPr>
      <w:r w:rsidRPr="00A96C97">
        <w:rPr>
          <w:rFonts w:ascii="Arial" w:hAnsi="Arial" w:cs="Arial"/>
          <w:snapToGrid w:val="0"/>
          <w:color w:val="000000"/>
        </w:rPr>
        <w:t xml:space="preserve">Competent use of a variety of teaching and learning strategies and methods of assessment </w:t>
      </w:r>
    </w:p>
    <w:p w14:paraId="25BBA17C" w14:textId="77777777" w:rsidR="00A96C97" w:rsidRPr="00A96C97" w:rsidRDefault="00A96C97" w:rsidP="00A96C97">
      <w:pPr>
        <w:numPr>
          <w:ilvl w:val="0"/>
          <w:numId w:val="22"/>
        </w:numPr>
        <w:spacing w:after="120" w:line="240" w:lineRule="auto"/>
        <w:rPr>
          <w:rFonts w:ascii="Arial" w:hAnsi="Arial" w:cs="Arial"/>
          <w:snapToGrid w:val="0"/>
          <w:color w:val="000000"/>
        </w:rPr>
      </w:pPr>
      <w:r w:rsidRPr="00A96C97">
        <w:rPr>
          <w:rFonts w:ascii="Arial" w:hAnsi="Arial" w:cs="Arial"/>
          <w:snapToGrid w:val="0"/>
          <w:color w:val="000000"/>
        </w:rPr>
        <w:t>Enthusiasm for drawing on scholarship, research and professional activity to support learning.</w:t>
      </w:r>
    </w:p>
    <w:p w14:paraId="2A2ED2F0" w14:textId="77777777" w:rsidR="00A96C97" w:rsidRPr="00A96C97" w:rsidRDefault="00A96C97" w:rsidP="00A96C97">
      <w:pPr>
        <w:numPr>
          <w:ilvl w:val="0"/>
          <w:numId w:val="22"/>
        </w:numPr>
        <w:spacing w:after="120" w:line="240" w:lineRule="auto"/>
        <w:rPr>
          <w:rFonts w:ascii="Arial" w:hAnsi="Arial" w:cs="Arial"/>
          <w:snapToGrid w:val="0"/>
          <w:color w:val="000000"/>
        </w:rPr>
      </w:pPr>
      <w:r w:rsidRPr="00A96C97">
        <w:rPr>
          <w:rFonts w:ascii="Arial" w:hAnsi="Arial" w:cs="Arial"/>
          <w:snapToGrid w:val="0"/>
          <w:color w:val="000000"/>
        </w:rPr>
        <w:t>Recognition and respect for the contribution made by students to each other’s learning.</w:t>
      </w:r>
    </w:p>
    <w:p w14:paraId="615F0033" w14:textId="77777777" w:rsidR="00A96C97" w:rsidRPr="00A96C97" w:rsidRDefault="00A96C97" w:rsidP="00A96C97">
      <w:pPr>
        <w:spacing w:after="120" w:line="240" w:lineRule="auto"/>
        <w:rPr>
          <w:rFonts w:ascii="Arial" w:hAnsi="Arial" w:cs="Arial"/>
          <w:snapToGrid w:val="0"/>
          <w:color w:val="000000"/>
        </w:rPr>
      </w:pPr>
      <w:r w:rsidRPr="00A96C97">
        <w:rPr>
          <w:rFonts w:ascii="Arial" w:hAnsi="Arial" w:cs="Arial"/>
          <w:b/>
          <w:snapToGrid w:val="0"/>
          <w:color w:val="000000"/>
        </w:rPr>
        <w:t>Teamwork and collaboration</w:t>
      </w:r>
    </w:p>
    <w:p w14:paraId="14979B84" w14:textId="77777777" w:rsidR="00A96C97" w:rsidRPr="00A96C97" w:rsidRDefault="00A96C97" w:rsidP="00A96C97">
      <w:pPr>
        <w:numPr>
          <w:ilvl w:val="0"/>
          <w:numId w:val="23"/>
        </w:numPr>
        <w:spacing w:after="120" w:line="240" w:lineRule="auto"/>
        <w:rPr>
          <w:rFonts w:ascii="Arial" w:hAnsi="Arial" w:cs="Arial"/>
          <w:snapToGrid w:val="0"/>
          <w:color w:val="000000"/>
        </w:rPr>
      </w:pPr>
      <w:r w:rsidRPr="00A96C97">
        <w:rPr>
          <w:rFonts w:ascii="Arial" w:hAnsi="Arial" w:cs="Arial"/>
          <w:snapToGrid w:val="0"/>
          <w:color w:val="000000"/>
        </w:rPr>
        <w:t>Consultative and co-operative working with others, including support staff, to achieve agreed outcomes and smooth-running programmes.</w:t>
      </w:r>
    </w:p>
    <w:p w14:paraId="1735DB84" w14:textId="77777777" w:rsidR="00A96C97" w:rsidRPr="00A96C97" w:rsidRDefault="00A96C97" w:rsidP="00A96C97">
      <w:pPr>
        <w:numPr>
          <w:ilvl w:val="0"/>
          <w:numId w:val="23"/>
        </w:numPr>
        <w:spacing w:after="120" w:line="240" w:lineRule="auto"/>
        <w:rPr>
          <w:rFonts w:ascii="Arial" w:hAnsi="Arial" w:cs="Arial"/>
          <w:snapToGrid w:val="0"/>
          <w:color w:val="000000"/>
        </w:rPr>
      </w:pPr>
      <w:r w:rsidRPr="00A96C97">
        <w:rPr>
          <w:rFonts w:ascii="Arial" w:hAnsi="Arial" w:cs="Arial"/>
          <w:snapToGrid w:val="0"/>
          <w:color w:val="000000"/>
        </w:rPr>
        <w:t>Ability to lead a team effectively.</w:t>
      </w:r>
    </w:p>
    <w:p w14:paraId="08331226" w14:textId="77777777" w:rsidR="00A96C97" w:rsidRPr="00A96C97" w:rsidRDefault="00A96C97" w:rsidP="00A96C97">
      <w:pPr>
        <w:spacing w:after="120" w:line="240" w:lineRule="auto"/>
        <w:rPr>
          <w:rFonts w:ascii="Arial" w:hAnsi="Arial" w:cs="Arial"/>
          <w:snapToGrid w:val="0"/>
          <w:color w:val="000000"/>
        </w:rPr>
      </w:pPr>
      <w:r w:rsidRPr="00A96C97">
        <w:rPr>
          <w:rFonts w:ascii="Arial" w:hAnsi="Arial" w:cs="Arial"/>
          <w:b/>
          <w:snapToGrid w:val="0"/>
          <w:color w:val="000000"/>
        </w:rPr>
        <w:lastRenderedPageBreak/>
        <w:t>Communication and presentation</w:t>
      </w:r>
    </w:p>
    <w:p w14:paraId="2A4C0250" w14:textId="77777777" w:rsidR="00A96C97" w:rsidRPr="00A96C97" w:rsidRDefault="00A96C97" w:rsidP="00A96C97">
      <w:pPr>
        <w:numPr>
          <w:ilvl w:val="0"/>
          <w:numId w:val="24"/>
        </w:numPr>
        <w:spacing w:after="120" w:line="240" w:lineRule="auto"/>
        <w:rPr>
          <w:rFonts w:ascii="Arial" w:hAnsi="Arial" w:cs="Arial"/>
          <w:snapToGrid w:val="0"/>
          <w:color w:val="000000"/>
        </w:rPr>
      </w:pPr>
      <w:r w:rsidRPr="00A96C97">
        <w:rPr>
          <w:rFonts w:ascii="Arial" w:hAnsi="Arial" w:cs="Arial"/>
          <w:snapToGrid w:val="0"/>
          <w:color w:val="000000"/>
        </w:rPr>
        <w:t xml:space="preserve">Ability to produce research material that is clear, well-structured, varied and appropriate to the subject and the situation </w:t>
      </w:r>
    </w:p>
    <w:p w14:paraId="41018DFB" w14:textId="77777777" w:rsidR="00A96C97" w:rsidRPr="00A96C97" w:rsidRDefault="00A96C97" w:rsidP="00A96C97">
      <w:pPr>
        <w:numPr>
          <w:ilvl w:val="0"/>
          <w:numId w:val="24"/>
        </w:numPr>
        <w:spacing w:after="120" w:line="240" w:lineRule="auto"/>
        <w:rPr>
          <w:rFonts w:ascii="Arial" w:hAnsi="Arial" w:cs="Arial"/>
          <w:snapToGrid w:val="0"/>
          <w:color w:val="000000"/>
        </w:rPr>
      </w:pPr>
      <w:r w:rsidRPr="00A96C97">
        <w:rPr>
          <w:rFonts w:ascii="Arial" w:hAnsi="Arial" w:cs="Arial"/>
          <w:snapToGrid w:val="0"/>
          <w:color w:val="000000"/>
        </w:rPr>
        <w:t>Competence in guiding and supporting colleagues and students, including clear feedback about strengths and weaknesses.</w:t>
      </w:r>
    </w:p>
    <w:p w14:paraId="73B0A4A1" w14:textId="77777777" w:rsidR="00A96C97" w:rsidRPr="00A96C97" w:rsidRDefault="00A96C97" w:rsidP="00A96C97">
      <w:pPr>
        <w:numPr>
          <w:ilvl w:val="0"/>
          <w:numId w:val="24"/>
        </w:numPr>
        <w:spacing w:after="120" w:line="240" w:lineRule="auto"/>
        <w:rPr>
          <w:rFonts w:ascii="Arial" w:hAnsi="Arial" w:cs="Arial"/>
          <w:snapToGrid w:val="0"/>
          <w:color w:val="000000"/>
        </w:rPr>
      </w:pPr>
      <w:r w:rsidRPr="00A96C97">
        <w:rPr>
          <w:rFonts w:ascii="Arial" w:hAnsi="Arial" w:cs="Arial"/>
          <w:snapToGrid w:val="0"/>
          <w:color w:val="000000"/>
        </w:rPr>
        <w:t>Effective methods for communicating full and timely information to students and colleagues, including support staff, to ensure mutual understanding, smooth-running research programmes and the needs of all parties are met.</w:t>
      </w:r>
    </w:p>
    <w:p w14:paraId="5AA8BB82" w14:textId="77777777" w:rsidR="00A96C97" w:rsidRPr="00A96C97" w:rsidRDefault="00A96C97" w:rsidP="00A96C97">
      <w:pPr>
        <w:spacing w:after="120" w:line="240" w:lineRule="auto"/>
        <w:rPr>
          <w:rFonts w:ascii="Arial" w:hAnsi="Arial" w:cs="Arial"/>
          <w:b/>
          <w:snapToGrid w:val="0"/>
          <w:color w:val="000000"/>
        </w:rPr>
      </w:pPr>
      <w:r w:rsidRPr="00A96C97">
        <w:rPr>
          <w:rFonts w:ascii="Arial" w:hAnsi="Arial" w:cs="Arial"/>
          <w:b/>
          <w:snapToGrid w:val="0"/>
          <w:color w:val="000000"/>
        </w:rPr>
        <w:t>Contribution to the school and university</w:t>
      </w:r>
    </w:p>
    <w:p w14:paraId="162E505B" w14:textId="77777777" w:rsidR="00A96C97" w:rsidRPr="00A96C97" w:rsidRDefault="00A96C97" w:rsidP="00A96C97">
      <w:pPr>
        <w:numPr>
          <w:ilvl w:val="0"/>
          <w:numId w:val="25"/>
        </w:numPr>
        <w:spacing w:after="120" w:line="240" w:lineRule="auto"/>
        <w:rPr>
          <w:rFonts w:ascii="Arial" w:hAnsi="Arial" w:cs="Arial"/>
          <w:b/>
          <w:snapToGrid w:val="0"/>
          <w:color w:val="000000"/>
        </w:rPr>
      </w:pPr>
      <w:r w:rsidRPr="00A96C97">
        <w:rPr>
          <w:rFonts w:ascii="Arial" w:hAnsi="Arial" w:cs="Arial"/>
          <w:snapToGrid w:val="0"/>
          <w:color w:val="000000"/>
        </w:rPr>
        <w:t>Commitment to institutional policy and procedures.</w:t>
      </w:r>
    </w:p>
    <w:p w14:paraId="09CD7CA4" w14:textId="77777777" w:rsidR="00A96C97" w:rsidRPr="00A96C97" w:rsidRDefault="00A96C97" w:rsidP="00A96C97">
      <w:pPr>
        <w:numPr>
          <w:ilvl w:val="0"/>
          <w:numId w:val="25"/>
        </w:numPr>
        <w:spacing w:after="120" w:line="240" w:lineRule="auto"/>
        <w:rPr>
          <w:rFonts w:ascii="Arial" w:hAnsi="Arial" w:cs="Arial"/>
          <w:snapToGrid w:val="0"/>
          <w:color w:val="000000"/>
        </w:rPr>
      </w:pPr>
      <w:r w:rsidRPr="00A96C97">
        <w:rPr>
          <w:rFonts w:ascii="Arial" w:hAnsi="Arial" w:cs="Arial"/>
          <w:snapToGrid w:val="0"/>
          <w:color w:val="000000"/>
        </w:rPr>
        <w:t>Achievement of School aims through successful management and participation in strategic development of research at School and University working groups and committees.</w:t>
      </w:r>
    </w:p>
    <w:p w14:paraId="2B33614B" w14:textId="77777777" w:rsidR="00A96C97" w:rsidRPr="00A96C97" w:rsidRDefault="00A96C97" w:rsidP="00A96C97">
      <w:pPr>
        <w:spacing w:after="120" w:line="240" w:lineRule="auto"/>
        <w:rPr>
          <w:rFonts w:ascii="Arial" w:hAnsi="Arial" w:cs="Arial"/>
          <w:snapToGrid w:val="0"/>
          <w:color w:val="000000"/>
        </w:rPr>
      </w:pPr>
      <w:r w:rsidRPr="00A96C97">
        <w:rPr>
          <w:rFonts w:ascii="Arial" w:hAnsi="Arial" w:cs="Arial"/>
          <w:b/>
          <w:snapToGrid w:val="0"/>
          <w:color w:val="000000"/>
        </w:rPr>
        <w:t>Management of others</w:t>
      </w:r>
    </w:p>
    <w:p w14:paraId="6D28392F" w14:textId="77777777" w:rsidR="00A96C97" w:rsidRPr="00A96C97" w:rsidRDefault="00A96C97" w:rsidP="00A96C97">
      <w:pPr>
        <w:numPr>
          <w:ilvl w:val="0"/>
          <w:numId w:val="26"/>
        </w:numPr>
        <w:spacing w:after="120" w:line="240" w:lineRule="auto"/>
        <w:rPr>
          <w:rFonts w:ascii="Arial" w:hAnsi="Arial" w:cs="Arial"/>
          <w:snapToGrid w:val="0"/>
          <w:color w:val="000000"/>
        </w:rPr>
      </w:pPr>
      <w:r w:rsidRPr="00A96C97">
        <w:rPr>
          <w:rFonts w:ascii="Arial" w:hAnsi="Arial" w:cs="Arial"/>
          <w:snapToGrid w:val="0"/>
          <w:color w:val="000000"/>
        </w:rPr>
        <w:t>Ability to recruit, induct and develop staff who meet agreed standards and objectives.</w:t>
      </w:r>
    </w:p>
    <w:p w14:paraId="3B26B018" w14:textId="77777777" w:rsidR="00A96C97" w:rsidRPr="00A96C97" w:rsidRDefault="00A96C97" w:rsidP="00A96C97">
      <w:pPr>
        <w:numPr>
          <w:ilvl w:val="0"/>
          <w:numId w:val="26"/>
        </w:numPr>
        <w:spacing w:after="120" w:line="240" w:lineRule="auto"/>
        <w:rPr>
          <w:rFonts w:ascii="Arial" w:hAnsi="Arial" w:cs="Arial"/>
          <w:snapToGrid w:val="0"/>
          <w:color w:val="000000"/>
        </w:rPr>
      </w:pPr>
      <w:r w:rsidRPr="00A96C97">
        <w:rPr>
          <w:rFonts w:ascii="Arial" w:hAnsi="Arial" w:cs="Arial"/>
          <w:snapToGrid w:val="0"/>
          <w:color w:val="000000"/>
        </w:rPr>
        <w:t>Commitment to support university staff management policies and procedures and to keep up to date, including attending relevant University of Brighton workshops.</w:t>
      </w:r>
    </w:p>
    <w:p w14:paraId="563E5179" w14:textId="77777777" w:rsidR="00A96C97" w:rsidRPr="00A96C97" w:rsidRDefault="00A96C97" w:rsidP="00A96C97">
      <w:pPr>
        <w:spacing w:after="120" w:line="240" w:lineRule="auto"/>
        <w:rPr>
          <w:rFonts w:ascii="Arial" w:hAnsi="Arial" w:cs="Arial"/>
          <w:snapToGrid w:val="0"/>
          <w:color w:val="000000"/>
        </w:rPr>
      </w:pPr>
      <w:r w:rsidRPr="00A96C97">
        <w:rPr>
          <w:rFonts w:ascii="Arial" w:hAnsi="Arial" w:cs="Arial"/>
          <w:b/>
          <w:snapToGrid w:val="0"/>
          <w:color w:val="000000"/>
        </w:rPr>
        <w:t>Motivation</w:t>
      </w:r>
    </w:p>
    <w:p w14:paraId="2FC8771C" w14:textId="77777777" w:rsidR="00A96C97" w:rsidRPr="00A96C97" w:rsidRDefault="00A96C97" w:rsidP="00A96C97">
      <w:pPr>
        <w:numPr>
          <w:ilvl w:val="0"/>
          <w:numId w:val="27"/>
        </w:numPr>
        <w:spacing w:after="120" w:line="240" w:lineRule="auto"/>
        <w:rPr>
          <w:rFonts w:ascii="Arial" w:hAnsi="Arial" w:cs="Arial"/>
          <w:snapToGrid w:val="0"/>
          <w:color w:val="000000"/>
        </w:rPr>
      </w:pPr>
      <w:r w:rsidRPr="00A96C97">
        <w:rPr>
          <w:rFonts w:ascii="Arial" w:hAnsi="Arial" w:cs="Arial"/>
          <w:snapToGrid w:val="0"/>
          <w:color w:val="000000"/>
        </w:rPr>
        <w:t>Commitment to meeting agreed aims and standards on own initiative and to ensure continuous self-development.</w:t>
      </w:r>
    </w:p>
    <w:p w14:paraId="388E3315" w14:textId="77777777" w:rsidR="00A96C97" w:rsidRPr="00A96C97" w:rsidRDefault="00A96C97" w:rsidP="00A96C97">
      <w:pPr>
        <w:spacing w:after="120" w:line="240" w:lineRule="auto"/>
        <w:rPr>
          <w:rFonts w:ascii="Arial" w:hAnsi="Arial" w:cs="Arial"/>
          <w:b/>
          <w:snapToGrid w:val="0"/>
          <w:color w:val="000000"/>
        </w:rPr>
      </w:pPr>
      <w:r w:rsidRPr="00A96C97">
        <w:rPr>
          <w:rFonts w:ascii="Arial" w:hAnsi="Arial" w:cs="Arial"/>
          <w:b/>
          <w:snapToGrid w:val="0"/>
          <w:color w:val="000000"/>
        </w:rPr>
        <w:t>Organisation</w:t>
      </w:r>
    </w:p>
    <w:p w14:paraId="424A722A" w14:textId="77777777" w:rsidR="00A96C97" w:rsidRPr="00A96C97" w:rsidRDefault="00A96C97" w:rsidP="00A96C97">
      <w:pPr>
        <w:numPr>
          <w:ilvl w:val="0"/>
          <w:numId w:val="27"/>
        </w:numPr>
        <w:spacing w:after="120" w:line="240" w:lineRule="auto"/>
        <w:rPr>
          <w:rFonts w:ascii="Arial" w:hAnsi="Arial" w:cs="Arial"/>
          <w:snapToGrid w:val="0"/>
          <w:color w:val="000000"/>
        </w:rPr>
      </w:pPr>
      <w:r w:rsidRPr="00A96C97">
        <w:rPr>
          <w:rFonts w:ascii="Arial" w:hAnsi="Arial" w:cs="Arial"/>
          <w:snapToGrid w:val="0"/>
          <w:color w:val="000000"/>
        </w:rPr>
        <w:t>Efficient and able to balance and meet priorities.</w:t>
      </w:r>
    </w:p>
    <w:p w14:paraId="3D0A7E50" w14:textId="77777777" w:rsidR="00A96C97" w:rsidRPr="00A96C97" w:rsidRDefault="00A96C97" w:rsidP="00A96C97">
      <w:pPr>
        <w:spacing w:after="120" w:line="240" w:lineRule="auto"/>
        <w:rPr>
          <w:rFonts w:ascii="Arial" w:hAnsi="Arial" w:cs="Arial"/>
          <w:snapToGrid w:val="0"/>
          <w:color w:val="000000"/>
        </w:rPr>
      </w:pPr>
      <w:r w:rsidRPr="00A96C97">
        <w:rPr>
          <w:rFonts w:ascii="Arial" w:hAnsi="Arial" w:cs="Arial"/>
          <w:b/>
          <w:snapToGrid w:val="0"/>
          <w:color w:val="000000"/>
        </w:rPr>
        <w:t>Physical</w:t>
      </w:r>
    </w:p>
    <w:p w14:paraId="569CA0B9" w14:textId="77777777" w:rsidR="00A96C97" w:rsidRPr="00A96C97" w:rsidRDefault="00A96C97" w:rsidP="00A96C97">
      <w:pPr>
        <w:numPr>
          <w:ilvl w:val="0"/>
          <w:numId w:val="27"/>
        </w:numPr>
        <w:spacing w:after="120" w:line="240" w:lineRule="auto"/>
        <w:rPr>
          <w:rFonts w:ascii="Arial" w:hAnsi="Arial" w:cs="Arial"/>
          <w:snapToGrid w:val="0"/>
          <w:color w:val="000000"/>
        </w:rPr>
      </w:pPr>
      <w:r w:rsidRPr="00A96C97">
        <w:rPr>
          <w:rFonts w:ascii="Arial" w:hAnsi="Arial" w:cs="Arial"/>
          <w:snapToGrid w:val="0"/>
          <w:color w:val="000000"/>
        </w:rPr>
        <w:t>Ability to undertake all the physical requirements of the job.</w:t>
      </w:r>
    </w:p>
    <w:p w14:paraId="657006F2" w14:textId="77777777" w:rsidR="00635CEB" w:rsidRPr="00635CEB" w:rsidRDefault="00635CEB" w:rsidP="00A96C97">
      <w:pPr>
        <w:spacing w:after="120" w:line="240" w:lineRule="auto"/>
        <w:rPr>
          <w:rFonts w:ascii="Arial" w:hAnsi="Arial" w:cs="Arial"/>
          <w:snapToGrid w:val="0"/>
          <w:color w:val="000000"/>
        </w:rPr>
      </w:pPr>
    </w:p>
    <w:p w14:paraId="76B972B5" w14:textId="7B3D9B58" w:rsidR="00177727" w:rsidRPr="008016F9" w:rsidRDefault="008016F9" w:rsidP="008016F9">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076C9573" w14:textId="22AC9ADD" w:rsidR="007A38D8" w:rsidRPr="005B0E24" w:rsidRDefault="00BE4BEC" w:rsidP="00105E73">
      <w:pPr>
        <w:pStyle w:val="ListParagraph"/>
        <w:widowControl w:val="0"/>
        <w:numPr>
          <w:ilvl w:val="0"/>
          <w:numId w:val="8"/>
        </w:numPr>
        <w:tabs>
          <w:tab w:val="left" w:pos="3261"/>
        </w:tabs>
        <w:spacing w:after="120"/>
        <w:ind w:left="284" w:hanging="284"/>
        <w:rPr>
          <w:rFonts w:ascii="Arial" w:hAnsi="Arial" w:cs="Arial"/>
        </w:rPr>
      </w:pPr>
      <w:r w:rsidRPr="005B0E24">
        <w:rPr>
          <w:rFonts w:ascii="Arial" w:hAnsi="Arial" w:cs="Arial"/>
        </w:rPr>
        <w:t xml:space="preserve">The School of Architecture, Technology and Engineering is one of the most active  Schools in the University in terms of research income and knowledge exchange partnerships. It is dynamic and forward looking, has a strong commitment to national, international and applied research, knowledge exchange and scholarly activity. </w:t>
      </w:r>
      <w:r w:rsidR="007A38D8" w:rsidRPr="005B0E24">
        <w:rPr>
          <w:rFonts w:ascii="Arial" w:hAnsi="Arial" w:cs="Arial"/>
        </w:rPr>
        <w:t>In addition to grant capture and the further development of their own publications portfolio, the appointed candidate will contribute to:</w:t>
      </w:r>
    </w:p>
    <w:p w14:paraId="6BAE1CB0" w14:textId="77777777" w:rsidR="007A38D8" w:rsidRPr="000C4B93" w:rsidRDefault="007A38D8" w:rsidP="005B0E24">
      <w:pPr>
        <w:pStyle w:val="ListParagraph"/>
        <w:numPr>
          <w:ilvl w:val="1"/>
          <w:numId w:val="18"/>
        </w:numPr>
        <w:tabs>
          <w:tab w:val="left" w:pos="3261"/>
        </w:tabs>
        <w:spacing w:after="120"/>
        <w:rPr>
          <w:rFonts w:ascii="Arial" w:hAnsi="Arial" w:cs="Arial"/>
        </w:rPr>
      </w:pPr>
      <w:r>
        <w:rPr>
          <w:rFonts w:ascii="Arial" w:hAnsi="Arial" w:cs="Arial"/>
        </w:rPr>
        <w:t>T</w:t>
      </w:r>
      <w:r w:rsidRPr="000C4B93">
        <w:rPr>
          <w:rFonts w:ascii="Arial" w:hAnsi="Arial" w:cs="Arial"/>
        </w:rPr>
        <w:t xml:space="preserve">he development of research capacity across the School of </w:t>
      </w:r>
      <w:r>
        <w:rPr>
          <w:rFonts w:ascii="Arial" w:hAnsi="Arial" w:cs="Arial"/>
        </w:rPr>
        <w:t xml:space="preserve">Architecture, Technology and Engineering </w:t>
      </w:r>
      <w:r w:rsidRPr="000C4B93">
        <w:rPr>
          <w:rFonts w:ascii="Arial" w:hAnsi="Arial" w:cs="Arial"/>
        </w:rPr>
        <w:t xml:space="preserve">and the </w:t>
      </w:r>
      <w:proofErr w:type="gramStart"/>
      <w:r w:rsidRPr="000C4B93">
        <w:rPr>
          <w:rFonts w:ascii="Arial" w:hAnsi="Arial" w:cs="Arial"/>
        </w:rPr>
        <w:t>University;</w:t>
      </w:r>
      <w:proofErr w:type="gramEnd"/>
    </w:p>
    <w:p w14:paraId="118F89D2" w14:textId="77777777" w:rsidR="007A38D8" w:rsidRPr="000C4B93" w:rsidRDefault="007A38D8" w:rsidP="005B0E24">
      <w:pPr>
        <w:pStyle w:val="ListParagraph"/>
        <w:numPr>
          <w:ilvl w:val="1"/>
          <w:numId w:val="18"/>
        </w:numPr>
        <w:tabs>
          <w:tab w:val="left" w:pos="3261"/>
        </w:tabs>
        <w:spacing w:after="120"/>
        <w:rPr>
          <w:rFonts w:ascii="Arial" w:hAnsi="Arial" w:cs="Arial"/>
        </w:rPr>
      </w:pPr>
      <w:r>
        <w:rPr>
          <w:rFonts w:ascii="Arial" w:hAnsi="Arial" w:cs="Arial"/>
          <w:lang w:val="en-US"/>
        </w:rPr>
        <w:t>U</w:t>
      </w:r>
      <w:r w:rsidRPr="000C4B93">
        <w:rPr>
          <w:rFonts w:ascii="Arial" w:hAnsi="Arial" w:cs="Arial"/>
          <w:lang w:val="en-US"/>
        </w:rPr>
        <w:t xml:space="preserve">ndergraduate and/or postgraduate teaching, as appropriate, relating to their research interests, knowledge and </w:t>
      </w:r>
      <w:proofErr w:type="gramStart"/>
      <w:r w:rsidRPr="000C4B93">
        <w:rPr>
          <w:rFonts w:ascii="Arial" w:hAnsi="Arial" w:cs="Arial"/>
          <w:lang w:val="en-US"/>
        </w:rPr>
        <w:t>expertise;</w:t>
      </w:r>
      <w:proofErr w:type="gramEnd"/>
      <w:r w:rsidRPr="000C4B93">
        <w:rPr>
          <w:rFonts w:ascii="Arial" w:hAnsi="Arial" w:cs="Arial"/>
          <w:lang w:val="en-US"/>
        </w:rPr>
        <w:t xml:space="preserve"> </w:t>
      </w:r>
    </w:p>
    <w:p w14:paraId="4AA6F6C2" w14:textId="77777777" w:rsidR="007A38D8" w:rsidRPr="000C4B93" w:rsidRDefault="007A38D8" w:rsidP="005B0E24">
      <w:pPr>
        <w:pStyle w:val="ListParagraph"/>
        <w:numPr>
          <w:ilvl w:val="1"/>
          <w:numId w:val="18"/>
        </w:numPr>
        <w:tabs>
          <w:tab w:val="left" w:pos="3261"/>
        </w:tabs>
        <w:spacing w:after="120"/>
        <w:rPr>
          <w:rFonts w:ascii="Arial" w:hAnsi="Arial" w:cs="Arial"/>
        </w:rPr>
      </w:pPr>
      <w:r>
        <w:rPr>
          <w:rFonts w:ascii="Arial" w:hAnsi="Arial" w:cs="Arial"/>
        </w:rPr>
        <w:t>I</w:t>
      </w:r>
      <w:r w:rsidRPr="000C4B93">
        <w:rPr>
          <w:rFonts w:ascii="Arial" w:hAnsi="Arial" w:cs="Arial"/>
        </w:rPr>
        <w:t xml:space="preserve">nter-disciplinary teams and working across the </w:t>
      </w:r>
      <w:proofErr w:type="gramStart"/>
      <w:r w:rsidRPr="000C4B93">
        <w:rPr>
          <w:rFonts w:ascii="Arial" w:hAnsi="Arial" w:cs="Arial"/>
        </w:rPr>
        <w:t>university;</w:t>
      </w:r>
      <w:proofErr w:type="gramEnd"/>
    </w:p>
    <w:p w14:paraId="02555688" w14:textId="77777777" w:rsidR="007A38D8" w:rsidRDefault="007A38D8" w:rsidP="005B0E24">
      <w:pPr>
        <w:pStyle w:val="ListParagraph"/>
        <w:numPr>
          <w:ilvl w:val="1"/>
          <w:numId w:val="18"/>
        </w:numPr>
        <w:tabs>
          <w:tab w:val="left" w:pos="3261"/>
        </w:tabs>
        <w:spacing w:after="120"/>
        <w:rPr>
          <w:rFonts w:ascii="Arial" w:hAnsi="Arial" w:cs="Arial"/>
        </w:rPr>
      </w:pPr>
      <w:r>
        <w:rPr>
          <w:rFonts w:ascii="Arial" w:hAnsi="Arial" w:cs="Arial"/>
        </w:rPr>
        <w:t>P</w:t>
      </w:r>
      <w:r w:rsidRPr="000C4B93">
        <w:rPr>
          <w:rFonts w:ascii="Arial" w:hAnsi="Arial" w:cs="Arial"/>
        </w:rPr>
        <w:t xml:space="preserve">lanning and preparations for </w:t>
      </w:r>
      <w:r>
        <w:rPr>
          <w:rFonts w:ascii="Arial" w:hAnsi="Arial" w:cs="Arial"/>
        </w:rPr>
        <w:t xml:space="preserve">the next </w:t>
      </w:r>
      <w:r w:rsidRPr="000C4B93">
        <w:rPr>
          <w:rFonts w:ascii="Arial" w:hAnsi="Arial" w:cs="Arial"/>
        </w:rPr>
        <w:t>REF.</w:t>
      </w:r>
    </w:p>
    <w:p w14:paraId="7DACEEC0" w14:textId="669A064D" w:rsidR="00D6364A" w:rsidRDefault="00D6364A" w:rsidP="00D6364A">
      <w:pPr>
        <w:pStyle w:val="ListParagraph"/>
        <w:widowControl w:val="0"/>
        <w:numPr>
          <w:ilvl w:val="0"/>
          <w:numId w:val="18"/>
        </w:numPr>
        <w:ind w:left="567" w:hanging="567"/>
        <w:rPr>
          <w:rFonts w:ascii="Arial" w:hAnsi="Arial" w:cs="Arial"/>
        </w:rPr>
      </w:pPr>
      <w:r w:rsidRPr="270BE90B">
        <w:rPr>
          <w:rFonts w:ascii="Arial" w:hAnsi="Arial" w:cs="Arial"/>
        </w:rPr>
        <w:t xml:space="preserve">The appointment is </w:t>
      </w:r>
      <w:bookmarkStart w:id="0" w:name="_Int_gUP7PFkj"/>
      <w:r w:rsidRPr="270BE90B">
        <w:rPr>
          <w:rFonts w:ascii="Arial" w:hAnsi="Arial" w:cs="Arial"/>
        </w:rPr>
        <w:t>generally made</w:t>
      </w:r>
      <w:bookmarkEnd w:id="0"/>
      <w:r w:rsidRPr="270BE90B">
        <w:rPr>
          <w:rFonts w:ascii="Arial" w:hAnsi="Arial" w:cs="Arial"/>
        </w:rPr>
        <w:t xml:space="preserve"> at the bottom of the range dependent upon experience and previous salary.</w:t>
      </w:r>
    </w:p>
    <w:p w14:paraId="6E503BBA" w14:textId="05DCB2CB" w:rsidR="00D6364A" w:rsidRDefault="00D6364A" w:rsidP="00D6364A">
      <w:pPr>
        <w:pStyle w:val="ListParagraph"/>
        <w:widowControl w:val="0"/>
        <w:numPr>
          <w:ilvl w:val="0"/>
          <w:numId w:val="18"/>
        </w:numPr>
        <w:ind w:left="567" w:hanging="567"/>
        <w:rPr>
          <w:rFonts w:ascii="Arial" w:hAnsi="Arial" w:cs="Arial"/>
        </w:rPr>
      </w:pPr>
      <w:r w:rsidRPr="270BE90B">
        <w:rPr>
          <w:rFonts w:ascii="Arial" w:hAnsi="Arial" w:cs="Arial"/>
        </w:rPr>
        <w:t xml:space="preserve">The annual leave entitlement is 35 working days, pro rata for proportional (part-time </w:t>
      </w:r>
      <w:r w:rsidRPr="270BE90B">
        <w:rPr>
          <w:rFonts w:ascii="Arial" w:hAnsi="Arial" w:cs="Arial"/>
        </w:rPr>
        <w:lastRenderedPageBreak/>
        <w:t>staff)</w:t>
      </w:r>
      <w:r w:rsidR="7E31DF35" w:rsidRPr="270BE90B">
        <w:rPr>
          <w:rFonts w:ascii="Arial" w:hAnsi="Arial" w:cs="Arial"/>
        </w:rPr>
        <w:t xml:space="preserve">. </w:t>
      </w:r>
      <w:r w:rsidRPr="270BE90B">
        <w:rPr>
          <w:rFonts w:ascii="Arial" w:hAnsi="Arial" w:cs="Arial"/>
        </w:rPr>
        <w:t xml:space="preserve">This is in addition to the statutory holidays applicable in England, local discretionary </w:t>
      </w:r>
      <w:r w:rsidR="2A824D93" w:rsidRPr="270BE90B">
        <w:rPr>
          <w:rFonts w:ascii="Arial" w:hAnsi="Arial" w:cs="Arial"/>
        </w:rPr>
        <w:t>holidays,</w:t>
      </w:r>
      <w:r w:rsidRPr="270BE90B">
        <w:rPr>
          <w:rFonts w:ascii="Arial" w:hAnsi="Arial" w:cs="Arial"/>
        </w:rPr>
        <w:t xml:space="preserve"> and days when the university is closed in the interests of efficiency.</w:t>
      </w:r>
    </w:p>
    <w:p w14:paraId="171031B4" w14:textId="3368469D" w:rsidR="00D6364A" w:rsidRDefault="00D6364A" w:rsidP="00D6364A">
      <w:pPr>
        <w:pStyle w:val="ListParagraph"/>
        <w:widowControl w:val="0"/>
        <w:numPr>
          <w:ilvl w:val="0"/>
          <w:numId w:val="18"/>
        </w:numPr>
        <w:ind w:left="567" w:hanging="567"/>
        <w:rPr>
          <w:rFonts w:ascii="Arial" w:hAnsi="Arial" w:cs="Arial"/>
        </w:rPr>
      </w:pPr>
      <w:r w:rsidRPr="270BE90B">
        <w:rPr>
          <w:rFonts w:ascii="Arial" w:hAnsi="Arial" w:cs="Arial"/>
        </w:rPr>
        <w:t>This post is full-time</w:t>
      </w:r>
      <w:r w:rsidR="00676911">
        <w:rPr>
          <w:rFonts w:ascii="Arial" w:hAnsi="Arial" w:cs="Arial"/>
        </w:rPr>
        <w:t>.</w:t>
      </w:r>
      <w:r w:rsidRPr="270BE90B">
        <w:rPr>
          <w:rFonts w:ascii="Arial" w:hAnsi="Arial" w:cs="Arial"/>
        </w:rPr>
        <w:t xml:space="preserve"> The nature of teaching posts is such that staff are expected to work such hours as are </w:t>
      </w:r>
      <w:r w:rsidR="1714884E" w:rsidRPr="270BE90B">
        <w:rPr>
          <w:rFonts w:ascii="Arial" w:hAnsi="Arial" w:cs="Arial"/>
        </w:rPr>
        <w:t>necessary</w:t>
      </w:r>
      <w:r w:rsidRPr="270BE90B">
        <w:rPr>
          <w:rFonts w:ascii="Arial" w:hAnsi="Arial" w:cs="Arial"/>
        </w:rPr>
        <w:t xml:space="preserve"> </w:t>
      </w:r>
      <w:bookmarkStart w:id="1" w:name="_Int_eQ5w7FZo"/>
      <w:proofErr w:type="gramStart"/>
      <w:r w:rsidRPr="270BE90B">
        <w:rPr>
          <w:rFonts w:ascii="Arial" w:hAnsi="Arial" w:cs="Arial"/>
        </w:rPr>
        <w:t>in order to</w:t>
      </w:r>
      <w:bookmarkEnd w:id="1"/>
      <w:proofErr w:type="gramEnd"/>
      <w:r w:rsidRPr="270BE90B">
        <w:rPr>
          <w:rFonts w:ascii="Arial" w:hAnsi="Arial" w:cs="Arial"/>
        </w:rPr>
        <w:t xml:space="preserve"> fulfil their duties and responsibilities</w:t>
      </w:r>
      <w:r w:rsidR="7DBE173D" w:rsidRPr="270BE90B">
        <w:rPr>
          <w:rFonts w:ascii="Arial" w:hAnsi="Arial" w:cs="Arial"/>
        </w:rPr>
        <w:t xml:space="preserve">. </w:t>
      </w:r>
      <w:r w:rsidRPr="270BE90B">
        <w:rPr>
          <w:rFonts w:ascii="Arial" w:hAnsi="Arial" w:cs="Arial"/>
        </w:rPr>
        <w:t>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 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634F85DA" w14:textId="77777777" w:rsidR="00D6364A" w:rsidRDefault="00D6364A" w:rsidP="00D6364A">
      <w:pPr>
        <w:pStyle w:val="ListParagraph"/>
        <w:numPr>
          <w:ilvl w:val="0"/>
          <w:numId w:val="18"/>
        </w:numPr>
        <w:spacing w:after="0"/>
        <w:ind w:left="360" w:firstLine="698"/>
        <w:rPr>
          <w:rFonts w:ascii="Arial" w:hAnsi="Arial" w:cs="Arial"/>
        </w:rPr>
      </w:pPr>
      <w:r>
        <w:rPr>
          <w:rFonts w:ascii="Arial" w:hAnsi="Arial" w:cs="Arial"/>
        </w:rPr>
        <w:t>art and design</w:t>
      </w:r>
    </w:p>
    <w:p w14:paraId="7CCEF6A0" w14:textId="77777777" w:rsidR="00D6364A" w:rsidRDefault="00D6364A" w:rsidP="00D6364A">
      <w:pPr>
        <w:pStyle w:val="ListParagraph"/>
        <w:numPr>
          <w:ilvl w:val="0"/>
          <w:numId w:val="18"/>
        </w:numPr>
        <w:spacing w:after="0"/>
        <w:ind w:left="360" w:firstLine="698"/>
        <w:rPr>
          <w:rFonts w:ascii="Arial" w:hAnsi="Arial" w:cs="Arial"/>
        </w:rPr>
      </w:pPr>
      <w:r>
        <w:rPr>
          <w:rFonts w:ascii="Arial" w:hAnsi="Arial" w:cs="Arial"/>
        </w:rPr>
        <w:t>business/management</w:t>
      </w:r>
    </w:p>
    <w:p w14:paraId="2AD850B0" w14:textId="77777777" w:rsidR="00D6364A" w:rsidRDefault="00D6364A" w:rsidP="00D6364A">
      <w:pPr>
        <w:pStyle w:val="ListParagraph"/>
        <w:numPr>
          <w:ilvl w:val="0"/>
          <w:numId w:val="18"/>
        </w:numPr>
        <w:spacing w:after="0"/>
        <w:ind w:left="360" w:firstLine="698"/>
        <w:rPr>
          <w:rFonts w:ascii="Arial" w:hAnsi="Arial" w:cs="Arial"/>
        </w:rPr>
      </w:pPr>
      <w:r>
        <w:rPr>
          <w:rFonts w:ascii="Arial" w:hAnsi="Arial" w:cs="Arial"/>
        </w:rPr>
        <w:t>health - clinically related subjects</w:t>
      </w:r>
    </w:p>
    <w:p w14:paraId="479C2D74" w14:textId="77777777" w:rsidR="00D6364A" w:rsidRDefault="00D6364A" w:rsidP="00D6364A">
      <w:pPr>
        <w:pStyle w:val="ListParagraph"/>
        <w:numPr>
          <w:ilvl w:val="0"/>
          <w:numId w:val="18"/>
        </w:numPr>
        <w:spacing w:after="0"/>
        <w:ind w:left="360" w:firstLine="698"/>
        <w:rPr>
          <w:rFonts w:ascii="Arial" w:hAnsi="Arial" w:cs="Arial"/>
        </w:rPr>
      </w:pPr>
      <w:r>
        <w:rPr>
          <w:rFonts w:ascii="Arial" w:hAnsi="Arial" w:cs="Arial"/>
        </w:rPr>
        <w:t>construction management</w:t>
      </w:r>
    </w:p>
    <w:p w14:paraId="4D8899D9" w14:textId="29020E13" w:rsidR="00D6364A" w:rsidRDefault="00D6364A" w:rsidP="00D6364A">
      <w:pPr>
        <w:pStyle w:val="ListParagraph"/>
        <w:widowControl w:val="0"/>
        <w:rPr>
          <w:rFonts w:ascii="Arial" w:hAnsi="Arial" w:cs="Arial"/>
        </w:rPr>
      </w:pPr>
      <w:r w:rsidRPr="270BE90B">
        <w:rPr>
          <w:rFonts w:ascii="Arial" w:hAnsi="Arial" w:cs="Arial"/>
        </w:rPr>
        <w:t xml:space="preserve">The </w:t>
      </w:r>
      <w:r w:rsidR="464B747D" w:rsidRPr="270BE90B">
        <w:rPr>
          <w:rFonts w:ascii="Arial" w:hAnsi="Arial" w:cs="Arial"/>
        </w:rPr>
        <w:t>550-hour</w:t>
      </w:r>
      <w:r w:rsidRPr="270BE90B">
        <w:rPr>
          <w:rFonts w:ascii="Arial" w:hAnsi="Arial" w:cs="Arial"/>
        </w:rPr>
        <w:t xml:space="preserve"> annual maximum will not, however, be exceeded except by mutually agreed overtime.</w:t>
      </w:r>
    </w:p>
    <w:p w14:paraId="0C830A74" w14:textId="77777777" w:rsidR="00D6364A" w:rsidRDefault="00D6364A" w:rsidP="00D6364A">
      <w:pPr>
        <w:pStyle w:val="ListParagraph"/>
        <w:spacing w:after="0"/>
        <w:ind w:left="360"/>
        <w:rPr>
          <w:rFonts w:ascii="Arial" w:hAnsi="Arial" w:cs="Arial"/>
        </w:rPr>
      </w:pPr>
    </w:p>
    <w:p w14:paraId="1A34B7D8" w14:textId="576D115F" w:rsidR="00D6364A" w:rsidRDefault="00D6364A" w:rsidP="00D6364A">
      <w:pPr>
        <w:spacing w:after="0"/>
        <w:rPr>
          <w:rFonts w:ascii="Arial" w:hAnsi="Arial" w:cs="Arial"/>
        </w:rPr>
      </w:pPr>
      <w:r w:rsidRPr="270BE90B">
        <w:rPr>
          <w:rFonts w:ascii="Arial" w:hAnsi="Arial" w:cs="Arial"/>
        </w:rPr>
        <w:t>More information about the university</w:t>
      </w:r>
      <w:r w:rsidR="43E282E8" w:rsidRPr="270BE90B">
        <w:rPr>
          <w:rFonts w:ascii="Arial" w:hAnsi="Arial" w:cs="Arial"/>
        </w:rPr>
        <w:t xml:space="preserve">, our strategy 2019 – </w:t>
      </w:r>
      <w:r w:rsidR="7FDF6B96" w:rsidRPr="270BE90B">
        <w:rPr>
          <w:rFonts w:ascii="Arial" w:hAnsi="Arial" w:cs="Arial"/>
        </w:rPr>
        <w:t>2025, and</w:t>
      </w:r>
      <w:r w:rsidRPr="270BE90B">
        <w:rPr>
          <w:rFonts w:ascii="Arial" w:hAnsi="Arial" w:cs="Arial"/>
        </w:rPr>
        <w:t xml:space="preserve"> the school can be found </w:t>
      </w:r>
      <w:r w:rsidR="2CE4C3B0" w:rsidRPr="270BE90B">
        <w:rPr>
          <w:rFonts w:ascii="Arial" w:hAnsi="Arial" w:cs="Arial"/>
        </w:rPr>
        <w:t xml:space="preserve">on our website where you can also find information about our benefits and facilities, </w:t>
      </w:r>
      <w:r w:rsidR="1DD6C361" w:rsidRPr="270BE90B">
        <w:rPr>
          <w:rFonts w:ascii="Arial" w:hAnsi="Arial" w:cs="Arial"/>
        </w:rPr>
        <w:t>and equality</w:t>
      </w:r>
      <w:r w:rsidR="2CE4C3B0" w:rsidRPr="270BE90B">
        <w:rPr>
          <w:rFonts w:ascii="Arial" w:hAnsi="Arial" w:cs="Arial"/>
        </w:rPr>
        <w:t xml:space="preserve">, diversity, and inclusion. </w:t>
      </w:r>
    </w:p>
    <w:p w14:paraId="737D99AE" w14:textId="77777777" w:rsidR="00D6364A" w:rsidRDefault="00D6364A" w:rsidP="00D6364A">
      <w:pPr>
        <w:spacing w:after="0" w:line="240" w:lineRule="auto"/>
        <w:ind w:firstLine="357"/>
        <w:rPr>
          <w:rFonts w:ascii="Arial" w:hAnsi="Arial" w:cs="Arial"/>
        </w:rPr>
      </w:pPr>
    </w:p>
    <w:p w14:paraId="1DB4EB24" w14:textId="77777777" w:rsidR="00D6364A" w:rsidRDefault="00D6364A" w:rsidP="00D6364A">
      <w:pPr>
        <w:widowControl w:val="0"/>
        <w:tabs>
          <w:tab w:val="left" w:pos="2736"/>
        </w:tabs>
        <w:spacing w:after="0"/>
        <w:ind w:left="2194" w:hanging="2194"/>
        <w:rPr>
          <w:rFonts w:ascii="Arial" w:hAnsi="Arial" w:cs="Arial"/>
        </w:rPr>
      </w:pPr>
      <w:r>
        <w:rPr>
          <w:rFonts w:ascii="Arial" w:hAnsi="Arial" w:cs="Arial"/>
          <w:b/>
        </w:rPr>
        <w:t>Job sharing</w:t>
      </w:r>
      <w:r>
        <w:rPr>
          <w:rFonts w:ascii="Arial" w:hAnsi="Arial" w:cs="Arial"/>
        </w:rPr>
        <w:t xml:space="preserve"> </w:t>
      </w:r>
      <w:r>
        <w:rPr>
          <w:rFonts w:ascii="Arial" w:hAnsi="Arial" w:cs="Arial"/>
        </w:rPr>
        <w:tab/>
      </w:r>
    </w:p>
    <w:p w14:paraId="40AD8843" w14:textId="0FDB64B6" w:rsidR="00D6364A" w:rsidRDefault="00D6364A" w:rsidP="00D6364A">
      <w:pPr>
        <w:widowControl w:val="0"/>
        <w:tabs>
          <w:tab w:val="left" w:pos="2736"/>
        </w:tabs>
        <w:spacing w:after="0"/>
        <w:rPr>
          <w:rFonts w:ascii="Arial" w:hAnsi="Arial" w:cs="Arial"/>
        </w:rPr>
      </w:pPr>
      <w:r w:rsidRPr="270BE90B">
        <w:rPr>
          <w:rFonts w:ascii="Arial" w:hAnsi="Arial" w:cs="Arial"/>
        </w:rPr>
        <w:t xml:space="preserve">The University of Brighton welcomes job sharers. Job sharing is a way of working where two people share one full-time job, dividing the work, responsibilities, pay, </w:t>
      </w:r>
      <w:r w:rsidR="2039AEA6" w:rsidRPr="270BE90B">
        <w:rPr>
          <w:rFonts w:ascii="Arial" w:hAnsi="Arial" w:cs="Arial"/>
        </w:rPr>
        <w:t>holidays,</w:t>
      </w:r>
      <w:r w:rsidRPr="270BE90B">
        <w:rPr>
          <w:rFonts w:ascii="Arial" w:hAnsi="Arial" w:cs="Arial"/>
        </w:rPr>
        <w:t xml:space="preserve"> and other benefits between them proportionate to the hours each works, thereby increasing access to a wide range of jobs on a part-time basis</w:t>
      </w:r>
      <w:r w:rsidR="4E7F4E7B" w:rsidRPr="270BE90B">
        <w:rPr>
          <w:rFonts w:ascii="Arial" w:hAnsi="Arial" w:cs="Arial"/>
        </w:rPr>
        <w:t xml:space="preserve">. </w:t>
      </w:r>
      <w:r w:rsidRPr="270BE90B">
        <w:rPr>
          <w:rFonts w:ascii="Arial" w:hAnsi="Arial" w:cs="Arial"/>
        </w:rPr>
        <w:t>The advert for the post for which you are applying will indicate whether applications from job sharers can be considered (this may not be possible for a post that is already part time for example</w:t>
      </w:r>
      <w:r w:rsidR="16759B88" w:rsidRPr="270BE90B">
        <w:rPr>
          <w:rFonts w:ascii="Arial" w:hAnsi="Arial" w:cs="Arial"/>
        </w:rPr>
        <w:t>),</w:t>
      </w:r>
      <w:r w:rsidRPr="270BE90B">
        <w:rPr>
          <w:rFonts w:ascii="Arial" w:hAnsi="Arial" w:cs="Arial"/>
        </w:rPr>
        <w:t xml:space="preserve"> and further information can be found on the ‘Balancing Working Life’ section here </w:t>
      </w:r>
      <w:hyperlink r:id="rId15">
        <w:r w:rsidRPr="270BE90B">
          <w:rPr>
            <w:rStyle w:val="Hyperlink"/>
            <w:rFonts w:ascii="Arial" w:hAnsi="Arial" w:cs="Arial"/>
          </w:rPr>
          <w:t>Benefits and facilities</w:t>
        </w:r>
      </w:hyperlink>
      <w:r w:rsidRPr="270BE90B">
        <w:rPr>
          <w:rFonts w:ascii="Arial" w:hAnsi="Arial" w:cs="Arial"/>
        </w:rPr>
        <w:t>.</w:t>
      </w:r>
    </w:p>
    <w:p w14:paraId="5C51576B" w14:textId="77777777" w:rsidR="00D6364A" w:rsidRDefault="00D6364A" w:rsidP="00D6364A">
      <w:pPr>
        <w:widowControl w:val="0"/>
        <w:spacing w:after="0" w:line="240" w:lineRule="atLeast"/>
        <w:rPr>
          <w:rFonts w:ascii="Arial" w:hAnsi="Arial" w:cs="Arial"/>
        </w:rPr>
      </w:pPr>
    </w:p>
    <w:p w14:paraId="37937EFC" w14:textId="77777777" w:rsidR="00D6364A" w:rsidRDefault="00D6364A" w:rsidP="00D6364A">
      <w:pPr>
        <w:widowControl w:val="0"/>
        <w:spacing w:after="0"/>
        <w:ind w:left="2160" w:hanging="2160"/>
        <w:rPr>
          <w:rFonts w:ascii="Arial" w:hAnsi="Arial" w:cs="Arial"/>
          <w:b/>
        </w:rPr>
      </w:pPr>
      <w:r>
        <w:rPr>
          <w:rFonts w:ascii="Arial" w:hAnsi="Arial" w:cs="Arial"/>
          <w:b/>
        </w:rPr>
        <w:t xml:space="preserve">Professional development </w:t>
      </w:r>
    </w:p>
    <w:p w14:paraId="307B5E97" w14:textId="7324203C" w:rsidR="00D6364A" w:rsidRDefault="0088147B" w:rsidP="270BE90B">
      <w:pPr>
        <w:widowControl w:val="0"/>
        <w:rPr>
          <w:rFonts w:ascii="Arial" w:hAnsi="Arial" w:cs="Arial"/>
        </w:rPr>
      </w:pPr>
      <w:r w:rsidRPr="270BE90B">
        <w:rPr>
          <w:rFonts w:ascii="Arial" w:hAnsi="Arial" w:cs="Arial"/>
        </w:rPr>
        <w:t>Research - t</w:t>
      </w:r>
      <w:r w:rsidR="00D6364A" w:rsidRPr="270BE90B">
        <w:rPr>
          <w:rFonts w:ascii="Arial" w:hAnsi="Arial" w:cs="Arial"/>
        </w:rPr>
        <w:t xml:space="preserve">he Research Office organises a wide range of workshops covering all aspects of researcher development including research degree supervision, research methodology, writing successful bids for funding, intellectual property and negotiations and contracts. The Research Office also offers a co-ordinated central service to advise and assist university research staff applying for grants from </w:t>
      </w:r>
      <w:r w:rsidR="3CEBA10D" w:rsidRPr="270BE90B">
        <w:rPr>
          <w:rFonts w:ascii="Arial" w:hAnsi="Arial" w:cs="Arial"/>
        </w:rPr>
        <w:t>UK (United Kingdom)</w:t>
      </w:r>
      <w:r w:rsidR="00D6364A" w:rsidRPr="270BE90B">
        <w:rPr>
          <w:rFonts w:ascii="Arial" w:hAnsi="Arial" w:cs="Arial"/>
        </w:rPr>
        <w:t xml:space="preserve"> Research Councils, the European Commission, the </w:t>
      </w:r>
      <w:r w:rsidR="4CD69751" w:rsidRPr="270BE90B">
        <w:rPr>
          <w:rFonts w:ascii="Arial" w:hAnsi="Arial" w:cs="Arial"/>
        </w:rPr>
        <w:t>NHS (National Health Service)</w:t>
      </w:r>
      <w:r w:rsidR="00D6364A" w:rsidRPr="270BE90B">
        <w:rPr>
          <w:rFonts w:ascii="Arial" w:hAnsi="Arial" w:cs="Arial"/>
        </w:rPr>
        <w:t xml:space="preserve"> and similar external bodies including advice and guidance on application procedures, regulations, staffing, costing and protection of intellectual property. The Research Office’s website offers a wide range of helpful information on all aspects of research. See </w:t>
      </w:r>
      <w:hyperlink r:id="rId16">
        <w:r w:rsidR="4466B50A" w:rsidRPr="270BE90B">
          <w:rPr>
            <w:rStyle w:val="Hyperlink"/>
            <w:rFonts w:ascii="Arial" w:eastAsia="Arial" w:hAnsi="Arial" w:cs="Arial"/>
          </w:rPr>
          <w:t>Enterprise (brighton.ac.uk)</w:t>
        </w:r>
      </w:hyperlink>
      <w:r w:rsidR="4466B50A" w:rsidRPr="270BE90B">
        <w:rPr>
          <w:rFonts w:ascii="Arial" w:eastAsia="Arial" w:hAnsi="Arial" w:cs="Arial"/>
        </w:rPr>
        <w:t xml:space="preserve"> </w:t>
      </w:r>
    </w:p>
    <w:p w14:paraId="5CBB22C9" w14:textId="404EA59A" w:rsidR="0088147B" w:rsidRPr="0088147B" w:rsidRDefault="32CEBCE4" w:rsidP="0088147B">
      <w:pPr>
        <w:pStyle w:val="Heading2"/>
        <w:rPr>
          <w:rFonts w:ascii="Arial" w:hAnsi="Arial" w:cs="Arial"/>
          <w:b w:val="0"/>
          <w:sz w:val="22"/>
          <w:szCs w:val="22"/>
        </w:rPr>
      </w:pPr>
      <w:r w:rsidRPr="270BE90B">
        <w:rPr>
          <w:rFonts w:ascii="Arial" w:hAnsi="Arial" w:cs="Arial"/>
          <w:b w:val="0"/>
          <w:sz w:val="22"/>
          <w:szCs w:val="22"/>
        </w:rPr>
        <w:lastRenderedPageBreak/>
        <w:t>Teaching -</w:t>
      </w:r>
      <w:r w:rsidR="0088147B" w:rsidRPr="270BE90B">
        <w:rPr>
          <w:rFonts w:ascii="Arial" w:hAnsi="Arial" w:cs="Arial"/>
          <w:b w:val="0"/>
          <w:sz w:val="22"/>
          <w:szCs w:val="22"/>
        </w:rPr>
        <w:t xml:space="preserve"> Four part-time courses are run within the University for staff new to the teaching role</w:t>
      </w:r>
      <w:r w:rsidR="220D3AEC" w:rsidRPr="270BE90B">
        <w:rPr>
          <w:rFonts w:ascii="Arial" w:hAnsi="Arial" w:cs="Arial"/>
          <w:b w:val="0"/>
          <w:sz w:val="22"/>
          <w:szCs w:val="22"/>
        </w:rPr>
        <w:t xml:space="preserve">. </w:t>
      </w:r>
      <w:r w:rsidR="0088147B" w:rsidRPr="270BE90B">
        <w:rPr>
          <w:rFonts w:ascii="Arial" w:hAnsi="Arial" w:cs="Arial"/>
          <w:b w:val="0"/>
          <w:sz w:val="22"/>
          <w:szCs w:val="22"/>
        </w:rPr>
        <w:t>They are:</w:t>
      </w:r>
    </w:p>
    <w:p w14:paraId="12326FB6" w14:textId="4B8EA20E" w:rsidR="0088147B" w:rsidRPr="004A1203" w:rsidRDefault="0088147B" w:rsidP="0088147B">
      <w:pPr>
        <w:widowControl w:val="0"/>
        <w:numPr>
          <w:ilvl w:val="0"/>
          <w:numId w:val="20"/>
        </w:numPr>
        <w:tabs>
          <w:tab w:val="clear" w:pos="2880"/>
        </w:tabs>
        <w:spacing w:after="0" w:line="240" w:lineRule="atLeast"/>
        <w:ind w:left="426" w:hanging="426"/>
        <w:rPr>
          <w:rFonts w:ascii="Arial" w:hAnsi="Arial" w:cs="Arial"/>
        </w:rPr>
      </w:pPr>
      <w:r w:rsidRPr="270BE90B">
        <w:rPr>
          <w:rFonts w:ascii="Arial" w:hAnsi="Arial" w:cs="Arial"/>
        </w:rPr>
        <w:t xml:space="preserve">The Postgraduate Certificate in Learning and Teaching in Higher Education (run by the </w:t>
      </w:r>
      <w:r w:rsidR="41E2471E" w:rsidRPr="270BE90B">
        <w:rPr>
          <w:rFonts w:ascii="Arial" w:hAnsi="Arial" w:cs="Arial"/>
        </w:rPr>
        <w:t>Teaching and Learning Hub</w:t>
      </w:r>
      <w:r w:rsidRPr="270BE90B">
        <w:rPr>
          <w:rFonts w:ascii="Arial" w:hAnsi="Arial" w:cs="Arial"/>
        </w:rPr>
        <w:t>, and designed for staff in all schools and faculties</w:t>
      </w:r>
      <w:proofErr w:type="gramStart"/>
      <w:r w:rsidRPr="270BE90B">
        <w:rPr>
          <w:rFonts w:ascii="Arial" w:hAnsi="Arial" w:cs="Arial"/>
        </w:rPr>
        <w:t>);</w:t>
      </w:r>
      <w:proofErr w:type="gramEnd"/>
    </w:p>
    <w:p w14:paraId="33F441CE" w14:textId="77777777" w:rsidR="0088147B" w:rsidRPr="004A1203" w:rsidRDefault="0088147B" w:rsidP="0088147B">
      <w:pPr>
        <w:widowControl w:val="0"/>
        <w:numPr>
          <w:ilvl w:val="0"/>
          <w:numId w:val="20"/>
        </w:numPr>
        <w:tabs>
          <w:tab w:val="clear" w:pos="2880"/>
        </w:tabs>
        <w:spacing w:after="0" w:line="240" w:lineRule="atLeast"/>
        <w:ind w:left="426" w:hanging="426"/>
        <w:rPr>
          <w:rFonts w:ascii="Arial" w:hAnsi="Arial" w:cs="Arial"/>
        </w:rPr>
      </w:pPr>
      <w:r w:rsidRPr="004A1203">
        <w:rPr>
          <w:rFonts w:ascii="Arial" w:hAnsi="Arial" w:cs="Arial"/>
        </w:rPr>
        <w:t>The Postgraduate Certificate in Health and Social Care Education (run by the School of Nursing and Midwifery, for staff within the school</w:t>
      </w:r>
      <w:proofErr w:type="gramStart"/>
      <w:r w:rsidRPr="004A1203">
        <w:rPr>
          <w:rFonts w:ascii="Arial" w:hAnsi="Arial" w:cs="Arial"/>
        </w:rPr>
        <w:t>);</w:t>
      </w:r>
      <w:proofErr w:type="gramEnd"/>
    </w:p>
    <w:p w14:paraId="3C8D4784" w14:textId="77777777" w:rsidR="0088147B" w:rsidRDefault="0088147B" w:rsidP="0088147B">
      <w:pPr>
        <w:widowControl w:val="0"/>
        <w:numPr>
          <w:ilvl w:val="0"/>
          <w:numId w:val="20"/>
        </w:numPr>
        <w:tabs>
          <w:tab w:val="clear" w:pos="2880"/>
        </w:tabs>
        <w:spacing w:after="0" w:line="240" w:lineRule="atLeast"/>
        <w:ind w:left="426" w:hanging="426"/>
        <w:rPr>
          <w:rFonts w:ascii="Arial" w:hAnsi="Arial" w:cs="Arial"/>
        </w:rPr>
      </w:pPr>
      <w:r w:rsidRPr="00EB0C90">
        <w:rPr>
          <w:rFonts w:ascii="Arial" w:hAnsi="Arial" w:cs="Arial"/>
        </w:rPr>
        <w:t>The Postgraduate Certificate in Clinical Education (run by the School of Health Professions, for staff within the school</w:t>
      </w:r>
      <w:proofErr w:type="gramStart"/>
      <w:r w:rsidRPr="00EB0C90">
        <w:rPr>
          <w:rFonts w:ascii="Arial" w:hAnsi="Arial" w:cs="Arial"/>
        </w:rPr>
        <w:t>);</w:t>
      </w:r>
      <w:proofErr w:type="gramEnd"/>
      <w:r>
        <w:rPr>
          <w:rFonts w:ascii="Arial" w:hAnsi="Arial" w:cs="Arial"/>
        </w:rPr>
        <w:t xml:space="preserve"> </w:t>
      </w:r>
    </w:p>
    <w:p w14:paraId="12FD57F7" w14:textId="77777777" w:rsidR="0088147B" w:rsidRDefault="0088147B" w:rsidP="0088147B">
      <w:pPr>
        <w:widowControl w:val="0"/>
        <w:numPr>
          <w:ilvl w:val="0"/>
          <w:numId w:val="20"/>
        </w:numPr>
        <w:tabs>
          <w:tab w:val="clear" w:pos="2880"/>
        </w:tabs>
        <w:spacing w:after="0" w:line="240" w:lineRule="atLeast"/>
        <w:ind w:left="426" w:hanging="426"/>
        <w:rPr>
          <w:rFonts w:ascii="Arial" w:hAnsi="Arial" w:cs="Arial"/>
        </w:rPr>
      </w:pPr>
      <w:r w:rsidRPr="00EB0C90">
        <w:rPr>
          <w:rFonts w:ascii="Arial" w:hAnsi="Arial" w:cs="Arial"/>
        </w:rPr>
        <w:t>The Postgraduate Certificate in Medical Education (run by Medical Education Unit).</w:t>
      </w:r>
    </w:p>
    <w:p w14:paraId="1C245D5F" w14:textId="77777777" w:rsidR="0088147B" w:rsidRPr="00EB0C90" w:rsidRDefault="0088147B" w:rsidP="0088147B">
      <w:pPr>
        <w:widowControl w:val="0"/>
        <w:spacing w:after="0" w:line="240" w:lineRule="atLeast"/>
        <w:rPr>
          <w:rFonts w:ascii="Arial" w:hAnsi="Arial" w:cs="Arial"/>
        </w:rPr>
      </w:pPr>
    </w:p>
    <w:p w14:paraId="3A1ED9A8" w14:textId="50EB007F" w:rsidR="0088147B" w:rsidRPr="004A1203" w:rsidRDefault="0088147B" w:rsidP="0088147B">
      <w:pPr>
        <w:widowControl w:val="0"/>
        <w:spacing w:after="0" w:line="240" w:lineRule="atLeast"/>
        <w:rPr>
          <w:rFonts w:ascii="Arial" w:hAnsi="Arial" w:cs="Arial"/>
        </w:rPr>
      </w:pPr>
      <w:r w:rsidRPr="270BE90B">
        <w:rPr>
          <w:rFonts w:ascii="Arial" w:hAnsi="Arial" w:cs="Arial"/>
        </w:rPr>
        <w:t>All new lecturers with little or no previous experience of teaching in Higher Education, who have not undertaken an equivalent course of study and training, are expected to take one of the courses listed above in their first or second year in post</w:t>
      </w:r>
      <w:r w:rsidR="0D02D060" w:rsidRPr="270BE90B">
        <w:rPr>
          <w:rFonts w:ascii="Arial" w:hAnsi="Arial" w:cs="Arial"/>
        </w:rPr>
        <w:t xml:space="preserve">. </w:t>
      </w:r>
      <w:r w:rsidRPr="270BE90B">
        <w:rPr>
          <w:rFonts w:ascii="Arial" w:hAnsi="Arial" w:cs="Arial"/>
        </w:rPr>
        <w:t>The courses provide opportunities to explore a range of practical approaches to supporting students’ learning, and to reflect upon the process of developing as a teacher</w:t>
      </w:r>
      <w:r w:rsidR="5FB206E7" w:rsidRPr="270BE90B">
        <w:rPr>
          <w:rFonts w:ascii="Arial" w:hAnsi="Arial" w:cs="Arial"/>
        </w:rPr>
        <w:t xml:space="preserve">. </w:t>
      </w:r>
      <w:r w:rsidRPr="270BE90B">
        <w:rPr>
          <w:rFonts w:ascii="Arial" w:hAnsi="Arial" w:cs="Arial"/>
        </w:rPr>
        <w:t>By negotiation with the relevant Head of School, teaching timetables are adjusted to enable the new lecturer to participate effectively in the course</w:t>
      </w:r>
      <w:r w:rsidR="4C87546C" w:rsidRPr="270BE90B">
        <w:rPr>
          <w:rFonts w:ascii="Arial" w:hAnsi="Arial" w:cs="Arial"/>
        </w:rPr>
        <w:t xml:space="preserve">. </w:t>
      </w:r>
      <w:r w:rsidRPr="270BE90B">
        <w:rPr>
          <w:rFonts w:ascii="Arial" w:hAnsi="Arial" w:cs="Arial"/>
        </w:rPr>
        <w:t>The course is accredited by the Higher Education Academy, the national professional body for teachers in Higher Education, and successful completion normally leads to professional recognition as a Fellow of the Higher Education Academy.</w:t>
      </w:r>
    </w:p>
    <w:p w14:paraId="4C90DB32" w14:textId="77777777" w:rsidR="0088147B" w:rsidRPr="004A1203" w:rsidRDefault="0088147B" w:rsidP="0088147B">
      <w:pPr>
        <w:widowControl w:val="0"/>
        <w:spacing w:after="0" w:line="240" w:lineRule="atLeast"/>
        <w:ind w:left="426"/>
        <w:rPr>
          <w:rFonts w:ascii="Arial" w:hAnsi="Arial" w:cs="Arial"/>
        </w:rPr>
      </w:pPr>
    </w:p>
    <w:p w14:paraId="0FE5ED22" w14:textId="42E1CC2C" w:rsidR="0088147B" w:rsidRDefault="0088147B" w:rsidP="0088147B">
      <w:pPr>
        <w:widowControl w:val="0"/>
        <w:spacing w:after="0" w:line="240" w:lineRule="atLeast"/>
        <w:rPr>
          <w:rFonts w:ascii="Arial" w:hAnsi="Arial" w:cs="Arial"/>
        </w:rPr>
      </w:pPr>
      <w:r w:rsidRPr="270BE90B">
        <w:rPr>
          <w:rFonts w:ascii="Arial" w:hAnsi="Arial" w:cs="Arial"/>
        </w:rPr>
        <w:t xml:space="preserve">In addition to these courses for staff new to the teaching role, the Learning and Teaching </w:t>
      </w:r>
      <w:r w:rsidR="45300C2F" w:rsidRPr="270BE90B">
        <w:rPr>
          <w:rFonts w:ascii="Arial" w:hAnsi="Arial" w:cs="Arial"/>
        </w:rPr>
        <w:t xml:space="preserve">hub </w:t>
      </w:r>
      <w:r w:rsidRPr="270BE90B">
        <w:rPr>
          <w:rFonts w:ascii="Arial" w:hAnsi="Arial" w:cs="Arial"/>
        </w:rPr>
        <w:t xml:space="preserve">offers a wide range of courses, </w:t>
      </w:r>
      <w:r w:rsidR="39434D43" w:rsidRPr="270BE90B">
        <w:rPr>
          <w:rFonts w:ascii="Arial" w:hAnsi="Arial" w:cs="Arial"/>
        </w:rPr>
        <w:t>events,</w:t>
      </w:r>
      <w:r w:rsidRPr="270BE90B">
        <w:rPr>
          <w:rFonts w:ascii="Arial" w:hAnsi="Arial" w:cs="Arial"/>
        </w:rPr>
        <w:t xml:space="preserve"> and consultancy to experienced lecturers and to course teams and academic schools across the university</w:t>
      </w:r>
      <w:r w:rsidR="2146FE40" w:rsidRPr="270BE90B">
        <w:rPr>
          <w:rFonts w:ascii="Arial" w:hAnsi="Arial" w:cs="Arial"/>
        </w:rPr>
        <w:t xml:space="preserve">. </w:t>
      </w:r>
      <w:r w:rsidRPr="270BE90B">
        <w:rPr>
          <w:rFonts w:ascii="Arial" w:hAnsi="Arial" w:cs="Arial"/>
        </w:rPr>
        <w:t xml:space="preserve">Further information is available </w:t>
      </w:r>
      <w:r w:rsidR="7061E8A7" w:rsidRPr="270BE90B">
        <w:rPr>
          <w:rFonts w:ascii="Arial" w:hAnsi="Arial" w:cs="Arial"/>
        </w:rPr>
        <w:t>on our webpages.</w:t>
      </w:r>
    </w:p>
    <w:p w14:paraId="07E8A6EB" w14:textId="77777777" w:rsidR="00D6364A" w:rsidRDefault="00D6364A" w:rsidP="00D6364A">
      <w:pPr>
        <w:widowControl w:val="0"/>
        <w:rPr>
          <w:rFonts w:ascii="Arial" w:hAnsi="Arial" w:cs="Arial"/>
        </w:rPr>
      </w:pPr>
    </w:p>
    <w:p w14:paraId="0358339B" w14:textId="77777777" w:rsidR="00D6364A" w:rsidRDefault="00D6364A" w:rsidP="00D6364A">
      <w:pPr>
        <w:widowControl w:val="0"/>
        <w:ind w:left="2520" w:hanging="360"/>
        <w:rPr>
          <w:rFonts w:ascii="Arial" w:hAnsi="Arial" w:cs="Arial"/>
          <w:highlight w:val="cyan"/>
        </w:rPr>
      </w:pPr>
    </w:p>
    <w:p w14:paraId="6E90FEB2" w14:textId="266FCB14" w:rsidR="00177727" w:rsidRPr="00E027E3" w:rsidRDefault="00D6364A" w:rsidP="00D6364A">
      <w:r>
        <w:rPr>
          <w:rFonts w:ascii="Arial" w:hAnsi="Arial" w:cs="Arial"/>
        </w:rPr>
        <w:t xml:space="preserve">Date:  </w:t>
      </w:r>
      <w:r w:rsidR="00DC72E1">
        <w:rPr>
          <w:rFonts w:ascii="Arial" w:hAnsi="Arial" w:cs="Arial"/>
        </w:rPr>
        <w:t>14/08/2024</w:t>
      </w:r>
    </w:p>
    <w:sectPr w:rsidR="00177727" w:rsidRPr="00E027E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FBC64" w14:textId="77777777" w:rsidR="002609C3" w:rsidRDefault="002609C3" w:rsidP="000742F4">
      <w:pPr>
        <w:spacing w:after="0" w:line="240" w:lineRule="auto"/>
      </w:pPr>
      <w:r>
        <w:separator/>
      </w:r>
    </w:p>
  </w:endnote>
  <w:endnote w:type="continuationSeparator" w:id="0">
    <w:p w14:paraId="0AF4F26F" w14:textId="77777777" w:rsidR="002609C3" w:rsidRDefault="002609C3"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DD95D" w14:textId="77777777" w:rsidR="002609C3" w:rsidRDefault="002609C3" w:rsidP="000742F4">
      <w:pPr>
        <w:spacing w:after="0" w:line="240" w:lineRule="auto"/>
      </w:pPr>
      <w:r>
        <w:separator/>
      </w:r>
    </w:p>
  </w:footnote>
  <w:footnote w:type="continuationSeparator" w:id="0">
    <w:p w14:paraId="13B14152" w14:textId="77777777" w:rsidR="002609C3" w:rsidRDefault="002609C3"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eQ5w7FZo" int2:invalidationBookmarkName="" int2:hashCode="e0dMsLOcF3PXGS" int2:id="ZdlLxyvj">
      <int2:state int2:value="Rejected" int2:type="AugLoop_Text_Critique"/>
    </int2:bookmark>
    <int2:bookmark int2:bookmarkName="_Int_gUP7PFkj" int2:invalidationBookmarkName="" int2:hashCode="IYi2KbUWhBeXjO" int2:id="4LFRsUC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12B66"/>
    <w:multiLevelType w:val="hybridMultilevel"/>
    <w:tmpl w:val="4C0E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293EDF"/>
    <w:multiLevelType w:val="hybridMultilevel"/>
    <w:tmpl w:val="617C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075C4"/>
    <w:multiLevelType w:val="hybridMultilevel"/>
    <w:tmpl w:val="6DE8E002"/>
    <w:lvl w:ilvl="0" w:tplc="7CBA92E4">
      <w:numFmt w:val="bullet"/>
      <w:lvlText w:val=""/>
      <w:lvlJc w:val="left"/>
      <w:pPr>
        <w:tabs>
          <w:tab w:val="num" w:pos="2520"/>
        </w:tabs>
        <w:ind w:left="2520" w:hanging="360"/>
      </w:pPr>
      <w:rPr>
        <w:rFonts w:ascii="Symbol" w:eastAsia="Times New Roman" w:hAnsi="Symbol" w:cs="Times New Roman" w:hint="default"/>
      </w:rPr>
    </w:lvl>
    <w:lvl w:ilvl="1" w:tplc="08090003">
      <w:start w:val="1"/>
      <w:numFmt w:val="bullet"/>
      <w:lvlText w:val="o"/>
      <w:lvlJc w:val="left"/>
      <w:pPr>
        <w:tabs>
          <w:tab w:val="num" w:pos="1473"/>
        </w:tabs>
        <w:ind w:left="1473" w:hanging="360"/>
      </w:pPr>
      <w:rPr>
        <w:rFonts w:ascii="Courier New" w:hAnsi="Courier New" w:cs="Courier New" w:hint="default"/>
      </w:rPr>
    </w:lvl>
    <w:lvl w:ilvl="2" w:tplc="08090005">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6"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21D5"/>
    <w:multiLevelType w:val="hybridMultilevel"/>
    <w:tmpl w:val="FADC6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0706A"/>
    <w:multiLevelType w:val="hybridMultilevel"/>
    <w:tmpl w:val="FFFFFFFF"/>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46BA6"/>
    <w:multiLevelType w:val="hybridMultilevel"/>
    <w:tmpl w:val="FFFFFFFF"/>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D6FAB"/>
    <w:multiLevelType w:val="hybridMultilevel"/>
    <w:tmpl w:val="A8C0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E0D11"/>
    <w:multiLevelType w:val="hybridMultilevel"/>
    <w:tmpl w:val="FFFFFFFF"/>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411CC"/>
    <w:multiLevelType w:val="hybridMultilevel"/>
    <w:tmpl w:val="FFFFFFFF"/>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373F2"/>
    <w:multiLevelType w:val="hybridMultilevel"/>
    <w:tmpl w:val="D6FE4D36"/>
    <w:lvl w:ilvl="0" w:tplc="7CBA92E4">
      <w:numFmt w:val="bullet"/>
      <w:lvlText w:val=""/>
      <w:lvlJc w:val="left"/>
      <w:pPr>
        <w:tabs>
          <w:tab w:val="num" w:pos="2487"/>
        </w:tabs>
        <w:ind w:left="2487"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6C6192"/>
    <w:multiLevelType w:val="hybridMultilevel"/>
    <w:tmpl w:val="FFFFFFFF"/>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2008C"/>
    <w:multiLevelType w:val="singleLevel"/>
    <w:tmpl w:val="0D4222A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93656"/>
    <w:multiLevelType w:val="hybridMultilevel"/>
    <w:tmpl w:val="FFFFFFFF"/>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218018">
    <w:abstractNumId w:val="22"/>
  </w:num>
  <w:num w:numId="2" w16cid:durableId="57873180">
    <w:abstractNumId w:val="23"/>
  </w:num>
  <w:num w:numId="3" w16cid:durableId="516844785">
    <w:abstractNumId w:val="17"/>
  </w:num>
  <w:num w:numId="4" w16cid:durableId="1366369459">
    <w:abstractNumId w:val="21"/>
  </w:num>
  <w:num w:numId="5" w16cid:durableId="346293099">
    <w:abstractNumId w:val="12"/>
  </w:num>
  <w:num w:numId="6" w16cid:durableId="1951858963">
    <w:abstractNumId w:val="7"/>
  </w:num>
  <w:num w:numId="7" w16cid:durableId="554126380">
    <w:abstractNumId w:val="9"/>
  </w:num>
  <w:num w:numId="8" w16cid:durableId="1587956497">
    <w:abstractNumId w:val="8"/>
  </w:num>
  <w:num w:numId="9" w16cid:durableId="1132796582">
    <w:abstractNumId w:val="15"/>
  </w:num>
  <w:num w:numId="10" w16cid:durableId="1318722998">
    <w:abstractNumId w:val="4"/>
  </w:num>
  <w:num w:numId="11" w16cid:durableId="1463619363">
    <w:abstractNumId w:val="1"/>
  </w:num>
  <w:num w:numId="12" w16cid:durableId="744449116">
    <w:abstractNumId w:val="2"/>
  </w:num>
  <w:num w:numId="13" w16cid:durableId="374432350">
    <w:abstractNumId w:val="5"/>
  </w:num>
  <w:num w:numId="14" w16cid:durableId="352613356">
    <w:abstractNumId w:val="13"/>
  </w:num>
  <w:num w:numId="15" w16cid:durableId="649138916">
    <w:abstractNumId w:val="18"/>
  </w:num>
  <w:num w:numId="16" w16cid:durableId="41296189">
    <w:abstractNumId w:val="0"/>
    <w:lvlOverride w:ilvl="0">
      <w:lvl w:ilvl="0">
        <w:numFmt w:val="bullet"/>
        <w:lvlText w:val=""/>
        <w:legacy w:legacy="1" w:legacySpace="0" w:legacyIndent="360"/>
        <w:lvlJc w:val="left"/>
        <w:rPr>
          <w:rFonts w:ascii="Symbol" w:hAnsi="Symbol" w:hint="default"/>
        </w:rPr>
      </w:lvl>
    </w:lvlOverride>
  </w:num>
  <w:num w:numId="17" w16cid:durableId="249777623">
    <w:abstractNumId w:val="20"/>
  </w:num>
  <w:num w:numId="18" w16cid:durableId="2007124831">
    <w:abstractNumId w:val="8"/>
  </w:num>
  <w:num w:numId="19" w16cid:durableId="968512248">
    <w:abstractNumId w:val="2"/>
  </w:num>
  <w:num w:numId="20" w16cid:durableId="1365983117">
    <w:abstractNumId w:val="6"/>
  </w:num>
  <w:num w:numId="21" w16cid:durableId="1212156436">
    <w:abstractNumId w:val="3"/>
  </w:num>
  <w:num w:numId="22" w16cid:durableId="1082795774">
    <w:abstractNumId w:val="11"/>
  </w:num>
  <w:num w:numId="23" w16cid:durableId="470170343">
    <w:abstractNumId w:val="19"/>
  </w:num>
  <w:num w:numId="24" w16cid:durableId="1567490929">
    <w:abstractNumId w:val="10"/>
  </w:num>
  <w:num w:numId="25" w16cid:durableId="693724005">
    <w:abstractNumId w:val="14"/>
  </w:num>
  <w:num w:numId="26" w16cid:durableId="1818764335">
    <w:abstractNumId w:val="16"/>
  </w:num>
  <w:num w:numId="27" w16cid:durableId="12578608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C32"/>
    <w:rsid w:val="00044530"/>
    <w:rsid w:val="0004514C"/>
    <w:rsid w:val="000742F4"/>
    <w:rsid w:val="000D2E62"/>
    <w:rsid w:val="000D5BCB"/>
    <w:rsid w:val="000E2B94"/>
    <w:rsid w:val="000F0966"/>
    <w:rsid w:val="00102498"/>
    <w:rsid w:val="00102980"/>
    <w:rsid w:val="00104A66"/>
    <w:rsid w:val="00127A19"/>
    <w:rsid w:val="00132D33"/>
    <w:rsid w:val="001456D0"/>
    <w:rsid w:val="00167905"/>
    <w:rsid w:val="00177727"/>
    <w:rsid w:val="001903D8"/>
    <w:rsid w:val="001B10CF"/>
    <w:rsid w:val="001C5943"/>
    <w:rsid w:val="002409F7"/>
    <w:rsid w:val="00242340"/>
    <w:rsid w:val="002609C3"/>
    <w:rsid w:val="00290F6E"/>
    <w:rsid w:val="00294B38"/>
    <w:rsid w:val="002A2AF1"/>
    <w:rsid w:val="002C648A"/>
    <w:rsid w:val="002E5D71"/>
    <w:rsid w:val="0030586C"/>
    <w:rsid w:val="003358DF"/>
    <w:rsid w:val="00350424"/>
    <w:rsid w:val="003648EB"/>
    <w:rsid w:val="003A6FCD"/>
    <w:rsid w:val="003B1D54"/>
    <w:rsid w:val="003B4A6F"/>
    <w:rsid w:val="003B7776"/>
    <w:rsid w:val="003D0706"/>
    <w:rsid w:val="003E1BDE"/>
    <w:rsid w:val="003F08D0"/>
    <w:rsid w:val="003F625D"/>
    <w:rsid w:val="003F71AC"/>
    <w:rsid w:val="004058B9"/>
    <w:rsid w:val="00434409"/>
    <w:rsid w:val="00435202"/>
    <w:rsid w:val="00443AE4"/>
    <w:rsid w:val="00471320"/>
    <w:rsid w:val="004A1EC5"/>
    <w:rsid w:val="004A2733"/>
    <w:rsid w:val="004B62B6"/>
    <w:rsid w:val="0054409E"/>
    <w:rsid w:val="00545A06"/>
    <w:rsid w:val="00546618"/>
    <w:rsid w:val="0057203A"/>
    <w:rsid w:val="005A2304"/>
    <w:rsid w:val="005A27CE"/>
    <w:rsid w:val="005A4991"/>
    <w:rsid w:val="005B0E24"/>
    <w:rsid w:val="005B45F6"/>
    <w:rsid w:val="005C1C9E"/>
    <w:rsid w:val="005E6399"/>
    <w:rsid w:val="005F7418"/>
    <w:rsid w:val="00600DC9"/>
    <w:rsid w:val="00621978"/>
    <w:rsid w:val="00623C07"/>
    <w:rsid w:val="00635CEB"/>
    <w:rsid w:val="006372DE"/>
    <w:rsid w:val="00664507"/>
    <w:rsid w:val="00676911"/>
    <w:rsid w:val="0069706B"/>
    <w:rsid w:val="006A565C"/>
    <w:rsid w:val="006C19B1"/>
    <w:rsid w:val="006F7241"/>
    <w:rsid w:val="00703BE3"/>
    <w:rsid w:val="00707C7F"/>
    <w:rsid w:val="00715889"/>
    <w:rsid w:val="0074643E"/>
    <w:rsid w:val="00746DA0"/>
    <w:rsid w:val="00771AC6"/>
    <w:rsid w:val="0078309F"/>
    <w:rsid w:val="007A38D8"/>
    <w:rsid w:val="007C3EDA"/>
    <w:rsid w:val="007D1EE7"/>
    <w:rsid w:val="007D618C"/>
    <w:rsid w:val="007E4ED8"/>
    <w:rsid w:val="007E7AC6"/>
    <w:rsid w:val="0080004A"/>
    <w:rsid w:val="008016F9"/>
    <w:rsid w:val="00830BC1"/>
    <w:rsid w:val="00860BF6"/>
    <w:rsid w:val="0088147B"/>
    <w:rsid w:val="008844F1"/>
    <w:rsid w:val="008B0015"/>
    <w:rsid w:val="00902EAF"/>
    <w:rsid w:val="00910B42"/>
    <w:rsid w:val="00922E48"/>
    <w:rsid w:val="009C3AFC"/>
    <w:rsid w:val="009D4393"/>
    <w:rsid w:val="009D7843"/>
    <w:rsid w:val="00A55900"/>
    <w:rsid w:val="00A6540A"/>
    <w:rsid w:val="00A87122"/>
    <w:rsid w:val="00A90952"/>
    <w:rsid w:val="00A965A8"/>
    <w:rsid w:val="00A96C97"/>
    <w:rsid w:val="00AE3A73"/>
    <w:rsid w:val="00AF0D3F"/>
    <w:rsid w:val="00B30E4E"/>
    <w:rsid w:val="00BD7B7A"/>
    <w:rsid w:val="00BE4BEC"/>
    <w:rsid w:val="00BF46A6"/>
    <w:rsid w:val="00C122F7"/>
    <w:rsid w:val="00C2109F"/>
    <w:rsid w:val="00C27E08"/>
    <w:rsid w:val="00C53FCA"/>
    <w:rsid w:val="00C82F11"/>
    <w:rsid w:val="00CA1FF7"/>
    <w:rsid w:val="00CA56D7"/>
    <w:rsid w:val="00CA6B22"/>
    <w:rsid w:val="00CE15D8"/>
    <w:rsid w:val="00CE51C0"/>
    <w:rsid w:val="00D15005"/>
    <w:rsid w:val="00D24EFA"/>
    <w:rsid w:val="00D24F54"/>
    <w:rsid w:val="00D400C4"/>
    <w:rsid w:val="00D6364A"/>
    <w:rsid w:val="00D8371D"/>
    <w:rsid w:val="00DC72E1"/>
    <w:rsid w:val="00DE2231"/>
    <w:rsid w:val="00E027E3"/>
    <w:rsid w:val="00E12642"/>
    <w:rsid w:val="00E36EA4"/>
    <w:rsid w:val="00E628F6"/>
    <w:rsid w:val="00E73CF9"/>
    <w:rsid w:val="00E92BD9"/>
    <w:rsid w:val="00EC6878"/>
    <w:rsid w:val="00ED5A86"/>
    <w:rsid w:val="00ED680D"/>
    <w:rsid w:val="00EE4D72"/>
    <w:rsid w:val="00EF164E"/>
    <w:rsid w:val="00F032AE"/>
    <w:rsid w:val="00F24227"/>
    <w:rsid w:val="00F2755E"/>
    <w:rsid w:val="00F46247"/>
    <w:rsid w:val="00F46C3E"/>
    <w:rsid w:val="00F5606A"/>
    <w:rsid w:val="00FB1CB1"/>
    <w:rsid w:val="00FD6E4A"/>
    <w:rsid w:val="00FE1D2B"/>
    <w:rsid w:val="00FF7A7D"/>
    <w:rsid w:val="0D02D060"/>
    <w:rsid w:val="12199D4A"/>
    <w:rsid w:val="163321E7"/>
    <w:rsid w:val="16759B88"/>
    <w:rsid w:val="16ED0E6D"/>
    <w:rsid w:val="1714884E"/>
    <w:rsid w:val="17F9F9BD"/>
    <w:rsid w:val="1DD6C361"/>
    <w:rsid w:val="1FE418C5"/>
    <w:rsid w:val="2039AEA6"/>
    <w:rsid w:val="2146FE40"/>
    <w:rsid w:val="220D3AEC"/>
    <w:rsid w:val="270BE90B"/>
    <w:rsid w:val="2A824D93"/>
    <w:rsid w:val="2CE4C3B0"/>
    <w:rsid w:val="32CEBCE4"/>
    <w:rsid w:val="34B25E43"/>
    <w:rsid w:val="39434D43"/>
    <w:rsid w:val="3CEBA10D"/>
    <w:rsid w:val="4045F7C3"/>
    <w:rsid w:val="41E2471E"/>
    <w:rsid w:val="43E282E8"/>
    <w:rsid w:val="4466B50A"/>
    <w:rsid w:val="45300C2F"/>
    <w:rsid w:val="46444434"/>
    <w:rsid w:val="464B747D"/>
    <w:rsid w:val="4B8088D7"/>
    <w:rsid w:val="4C3D659C"/>
    <w:rsid w:val="4C87546C"/>
    <w:rsid w:val="4CD69751"/>
    <w:rsid w:val="4E7F4E7B"/>
    <w:rsid w:val="5A9E90A8"/>
    <w:rsid w:val="5DD5059A"/>
    <w:rsid w:val="5FB206E7"/>
    <w:rsid w:val="62D83A61"/>
    <w:rsid w:val="65D751BD"/>
    <w:rsid w:val="6773221E"/>
    <w:rsid w:val="690EF27F"/>
    <w:rsid w:val="7061E8A7"/>
    <w:rsid w:val="7283215D"/>
    <w:rsid w:val="7DBE173D"/>
    <w:rsid w:val="7E31DF35"/>
    <w:rsid w:val="7FDF6B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DB30F49B-1079-44B9-86D4-AD2CE819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uiPriority w:val="9"/>
    <w:qFormat/>
    <w:rsid w:val="009D43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8309F"/>
    <w:pPr>
      <w:keepNext/>
      <w:spacing w:after="0" w:line="240" w:lineRule="auto"/>
      <w:outlineLvl w:val="1"/>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2Char">
    <w:name w:val="Heading 2 Char"/>
    <w:basedOn w:val="DefaultParagraphFont"/>
    <w:link w:val="Heading2"/>
    <w:rsid w:val="0078309F"/>
    <w:rPr>
      <w:rFonts w:ascii="Verdana" w:eastAsia="Times New Roman" w:hAnsi="Verdana" w:cs="Times New Roman"/>
      <w:b/>
      <w:sz w:val="20"/>
      <w:szCs w:val="20"/>
    </w:rPr>
  </w:style>
  <w:style w:type="paragraph" w:customStyle="1" w:styleId="4MainText">
    <w:name w:val="4 Main Text"/>
    <w:basedOn w:val="Normal"/>
    <w:rsid w:val="0078309F"/>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character" w:customStyle="1" w:styleId="Heading1Char">
    <w:name w:val="Heading 1 Char"/>
    <w:basedOn w:val="DefaultParagraphFont"/>
    <w:link w:val="Heading1"/>
    <w:uiPriority w:val="9"/>
    <w:rsid w:val="009D4393"/>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unhideWhenUsed/>
    <w:rsid w:val="00635CEB"/>
    <w:pPr>
      <w:spacing w:after="120"/>
      <w:ind w:left="283"/>
    </w:pPr>
  </w:style>
  <w:style w:type="character" w:customStyle="1" w:styleId="BodyTextIndentChar">
    <w:name w:val="Body Text Indent Char"/>
    <w:basedOn w:val="DefaultParagraphFont"/>
    <w:link w:val="BodyTextIndent"/>
    <w:uiPriority w:val="99"/>
    <w:semiHidden/>
    <w:rsid w:val="0063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83396">
      <w:bodyDiv w:val="1"/>
      <w:marLeft w:val="0"/>
      <w:marRight w:val="0"/>
      <w:marTop w:val="0"/>
      <w:marBottom w:val="0"/>
      <w:divBdr>
        <w:top w:val="none" w:sz="0" w:space="0" w:color="auto"/>
        <w:left w:val="none" w:sz="0" w:space="0" w:color="auto"/>
        <w:bottom w:val="none" w:sz="0" w:space="0" w:color="auto"/>
        <w:right w:val="none" w:sz="0" w:space="0" w:color="auto"/>
      </w:divBdr>
    </w:div>
    <w:div w:id="1153567912">
      <w:bodyDiv w:val="1"/>
      <w:marLeft w:val="0"/>
      <w:marRight w:val="0"/>
      <w:marTop w:val="0"/>
      <w:marBottom w:val="0"/>
      <w:divBdr>
        <w:top w:val="none" w:sz="0" w:space="0" w:color="auto"/>
        <w:left w:val="none" w:sz="0" w:space="0" w:color="auto"/>
        <w:bottom w:val="none" w:sz="0" w:space="0" w:color="auto"/>
        <w:right w:val="none" w:sz="0" w:space="0" w:color="auto"/>
      </w:divBdr>
    </w:div>
    <w:div w:id="1417751728">
      <w:bodyDiv w:val="1"/>
      <w:marLeft w:val="0"/>
      <w:marRight w:val="0"/>
      <w:marTop w:val="0"/>
      <w:marBottom w:val="0"/>
      <w:divBdr>
        <w:top w:val="none" w:sz="0" w:space="0" w:color="auto"/>
        <w:left w:val="none" w:sz="0" w:space="0" w:color="auto"/>
        <w:bottom w:val="none" w:sz="0" w:space="0" w:color="auto"/>
        <w:right w:val="none" w:sz="0" w:space="0" w:color="auto"/>
      </w:divBdr>
    </w:div>
    <w:div w:id="1479884635">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 w:id="18395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research/enterprise/index.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working-with-us/jobs/benefits-and-facilities.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809076dc-4d9b-4525-ac61-cf079660d0b6</TermId>
        </TermInfo>
      </Terms>
    </n0ee73a8e1264439b890776fcd9b9a14>
    <TaxCatchAll xmlns="b2b3b332-7c05-4c9e-ac88-8c84810ea636">
      <Value>83</Value>
      <Value>397</Value>
      <Value>16</Value>
      <Value>197</Value>
      <Value>463</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e2ed8382-a20f-40eb-8058-edbc052426c2</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academic</TermName>
          <TermId xmlns="http://schemas.microsoft.com/office/infopath/2007/PartnerControls">c1851b57-0d90-43c3-912c-ca7822f8bc0b</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620fc26-8289-4c02-81ef-e580eda00c72" ContentTypeId="0x010100E68AC66A58BC4C44B3D7121FA3D3105B04" PreviousValue="false"/>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6A8FE461-2CA6-4751-A6BE-83796135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42877-00BE-4B29-8886-D3B076C735A7}">
  <ds:schemaRefs>
    <ds:schemaRef ds:uri="http://schemas.openxmlformats.org/officeDocument/2006/bibliography"/>
  </ds:schemaRefs>
</ds:datastoreItem>
</file>

<file path=customXml/itemProps5.xml><?xml version="1.0" encoding="utf-8"?>
<ds:datastoreItem xmlns:ds="http://schemas.openxmlformats.org/officeDocument/2006/customXml" ds:itemID="{D8D65F7D-5013-4D5B-9E16-784570242FE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JD template - Reader or Professor</vt:lpstr>
    </vt:vector>
  </TitlesOfParts>
  <Company>University of Brighton</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template - Reader or Professor</dc:title>
  <dc:creator>Jo Hird</dc:creator>
  <cp:keywords>recruitment; academic; Job Description template</cp:keywords>
  <cp:lastModifiedBy>Martin Wood</cp:lastModifiedBy>
  <cp:revision>2</cp:revision>
  <cp:lastPrinted>2016-10-19T08:37:00Z</cp:lastPrinted>
  <dcterms:created xsi:type="dcterms:W3CDTF">2025-02-24T09:31:00Z</dcterms:created>
  <dcterms:modified xsi:type="dcterms:W3CDTF">2025-02-24T09:31:00Z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397;#Job Description template|42e41e17-9031-457b-aae8-042790c8ebe8;#83;#academic|c1851b57-0d90-43c3-912c-ca7822f8bc0b;#16;#recruitment|63b4dff3-78f3-45aa-bbc4-7ed34c101146</vt:lpwstr>
  </property>
  <property fmtid="{D5CDD505-2E9C-101B-9397-08002B2CF9AE}" pid="6" name="Topic">
    <vt:lpwstr>197;#Human Resources|809076dc-4d9b-4525-ac61-cf079660d0b6</vt:lpwstr>
  </property>
  <property fmtid="{D5CDD505-2E9C-101B-9397-08002B2CF9AE}" pid="7" name="Organisational_x0020_unit_x0020_coverage">
    <vt:lpwstr/>
  </property>
  <property fmtid="{D5CDD505-2E9C-101B-9397-08002B2CF9AE}" pid="8" name="Department Owner">
    <vt:lpwstr>463;#Recruitment|e2ed8382-a20f-40eb-8058-edbc052426c2</vt:lpwstr>
  </property>
  <property fmtid="{D5CDD505-2E9C-101B-9397-08002B2CF9AE}" pid="9" name="Organisational unit coverage">
    <vt:lpwstr/>
  </property>
</Properties>
</file>